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成都大学</w:t>
      </w:r>
      <w:r>
        <w:rPr>
          <w:rFonts w:hint="eastAsia" w:eastAsia="方正小标宋简体"/>
          <w:sz w:val="36"/>
          <w:szCs w:val="36"/>
        </w:rPr>
        <w:t>商</w:t>
      </w:r>
      <w:r>
        <w:rPr>
          <w:rFonts w:eastAsia="方正小标宋简体"/>
          <w:sz w:val="36"/>
          <w:szCs w:val="36"/>
        </w:rPr>
        <w:t>学院</w:t>
      </w:r>
    </w:p>
    <w:p>
      <w:pPr>
        <w:pStyle w:val="7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sz w:val="36"/>
          <w:szCs w:val="36"/>
        </w:rPr>
        <w:t>20</w:t>
      </w:r>
      <w:r>
        <w:rPr>
          <w:rFonts w:ascii="Times New Roman" w:hAnsi="Times New Roman" w:eastAsia="方正小标宋简体"/>
          <w:sz w:val="36"/>
          <w:szCs w:val="36"/>
        </w:rPr>
        <w:t>级本科学生转专业工作方案</w:t>
      </w:r>
    </w:p>
    <w:p>
      <w:pPr>
        <w:pStyle w:val="7"/>
        <w:spacing w:line="240" w:lineRule="auto"/>
        <w:ind w:firstLine="560"/>
        <w:jc w:val="left"/>
        <w:rPr>
          <w:rFonts w:ascii="Times New Roman" w:hAnsi="Times New Roman" w:eastAsia="方正小标宋简体"/>
          <w:sz w:val="36"/>
          <w:szCs w:val="36"/>
        </w:rPr>
      </w:pPr>
      <w:r>
        <w:rPr>
          <w:sz w:val="28"/>
          <w:szCs w:val="28"/>
        </w:rPr>
        <w:t>为充分体现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以人为本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的教育理念，尊重学生个人志向，发挥学生专长，激发学生学习积极性、主动性，根据《成都大学全日制普通本专科学生学分制学籍管理规定（修订）》（成大发〔2017〕22号）《成都大学本科学生转专业规定（2019年修订）》（成大教〔2019〕108号）和</w:t>
      </w:r>
      <w:r>
        <w:rPr>
          <w:rFonts w:hint="eastAsia"/>
          <w:sz w:val="28"/>
          <w:szCs w:val="28"/>
        </w:rPr>
        <w:t>《</w:t>
      </w:r>
      <w:r>
        <w:rPr>
          <w:sz w:val="28"/>
          <w:szCs w:val="28"/>
        </w:rPr>
        <w:t>关于做好20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级学生转专业工作的通知</w:t>
      </w:r>
      <w:r>
        <w:rPr>
          <w:rFonts w:hint="eastAsia"/>
          <w:sz w:val="28"/>
          <w:szCs w:val="28"/>
        </w:rPr>
        <w:t>》等文件</w:t>
      </w:r>
      <w:r>
        <w:rPr>
          <w:sz w:val="28"/>
          <w:szCs w:val="28"/>
        </w:rPr>
        <w:t>精神，结合</w:t>
      </w:r>
      <w:r>
        <w:rPr>
          <w:rFonts w:hint="eastAsia"/>
          <w:sz w:val="28"/>
          <w:szCs w:val="28"/>
        </w:rPr>
        <w:t>商</w:t>
      </w:r>
      <w:r>
        <w:rPr>
          <w:sz w:val="28"/>
          <w:szCs w:val="28"/>
        </w:rPr>
        <w:t>学院</w:t>
      </w:r>
      <w:r>
        <w:rPr>
          <w:rFonts w:hint="eastAsia"/>
          <w:sz w:val="28"/>
          <w:szCs w:val="28"/>
        </w:rPr>
        <w:t>学科专业</w:t>
      </w:r>
      <w:r>
        <w:rPr>
          <w:sz w:val="28"/>
          <w:szCs w:val="28"/>
        </w:rPr>
        <w:t>实际，特制定</w:t>
      </w:r>
      <w:r>
        <w:rPr>
          <w:rFonts w:hint="eastAsia"/>
          <w:sz w:val="28"/>
          <w:szCs w:val="28"/>
        </w:rPr>
        <w:t>本</w:t>
      </w:r>
      <w:r>
        <w:rPr>
          <w:sz w:val="28"/>
          <w:szCs w:val="28"/>
        </w:rPr>
        <w:t>工作方案。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32"/>
        </w:rPr>
      </w:pPr>
      <w:r>
        <w:rPr>
          <w:rFonts w:ascii="Times New Roman" w:hAnsi="Times New Roman" w:eastAsia="黑体"/>
          <w:sz w:val="28"/>
          <w:szCs w:val="32"/>
        </w:rPr>
        <w:t>一、转专业工作流程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根据学校总体安排，以学校“关于做好20</w:t>
      </w:r>
      <w:r>
        <w:rPr>
          <w:rFonts w:hint="eastAsia" w:eastAsia="方正仿宋简体"/>
          <w:sz w:val="28"/>
          <w:szCs w:val="28"/>
        </w:rPr>
        <w:t>20</w:t>
      </w:r>
      <w:r>
        <w:rPr>
          <w:rFonts w:eastAsia="方正仿宋简体"/>
          <w:sz w:val="28"/>
          <w:szCs w:val="28"/>
        </w:rPr>
        <w:t>级学生转专业工作的通知”为准。</w:t>
      </w:r>
    </w:p>
    <w:p>
      <w:pPr>
        <w:pStyle w:val="7"/>
        <w:spacing w:line="480" w:lineRule="exact"/>
        <w:ind w:firstLine="560"/>
        <w:rPr>
          <w:rFonts w:ascii="Times New Roman" w:hAnsi="Times New Roman" w:eastAsia="黑体"/>
          <w:sz w:val="28"/>
          <w:szCs w:val="32"/>
        </w:rPr>
      </w:pPr>
      <w:r>
        <w:rPr>
          <w:rFonts w:ascii="Times New Roman" w:hAnsi="Times New Roman" w:eastAsia="黑体"/>
          <w:sz w:val="28"/>
          <w:szCs w:val="32"/>
        </w:rPr>
        <w:t>二、转专业考核小组名单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（一）转专业工作领导小组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>马胜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涂静</w:t>
      </w:r>
      <w:r>
        <w:rPr>
          <w:rFonts w:eastAsia="方正仿宋简体"/>
          <w:sz w:val="28"/>
          <w:szCs w:val="28"/>
        </w:rPr>
        <w:t>、</w:t>
      </w:r>
      <w:r>
        <w:rPr>
          <w:rFonts w:hint="eastAsia" w:eastAsia="方正仿宋简体"/>
          <w:sz w:val="28"/>
          <w:szCs w:val="28"/>
        </w:rPr>
        <w:t>张千友、许欣欣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职责：</w:t>
      </w:r>
      <w:r>
        <w:rPr>
          <w:rFonts w:eastAsia="方正仿宋简体"/>
          <w:sz w:val="28"/>
          <w:szCs w:val="28"/>
        </w:rPr>
        <w:t>负责学院转专业工作的</w:t>
      </w:r>
      <w:r>
        <w:rPr>
          <w:rFonts w:hint="eastAsia" w:eastAsia="方正仿宋简体"/>
          <w:sz w:val="28"/>
          <w:szCs w:val="28"/>
        </w:rPr>
        <w:t>统筹安排和</w:t>
      </w:r>
      <w:r>
        <w:rPr>
          <w:rFonts w:eastAsia="方正仿宋简体"/>
          <w:sz w:val="28"/>
          <w:szCs w:val="28"/>
        </w:rPr>
        <w:t>组织领导。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（二）转专业工作小组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>张千友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成员：</w:t>
      </w:r>
      <w:r>
        <w:rPr>
          <w:rFonts w:hint="eastAsia" w:eastAsia="方正仿宋简体"/>
          <w:sz w:val="28"/>
          <w:szCs w:val="28"/>
        </w:rPr>
        <w:t>许欣欣、李琳、曹明才、李文洁</w:t>
      </w:r>
      <w:r>
        <w:rPr>
          <w:rFonts w:eastAsia="方正仿宋简体"/>
          <w:sz w:val="28"/>
          <w:szCs w:val="28"/>
        </w:rPr>
        <w:t xml:space="preserve"> </w:t>
      </w:r>
      <w:r>
        <w:rPr>
          <w:rFonts w:hint="eastAsia" w:eastAsia="方正仿宋简体"/>
          <w:sz w:val="28"/>
          <w:szCs w:val="28"/>
        </w:rPr>
        <w:t>、文华、陈建西、张蕾、张瑜婕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职责：</w:t>
      </w:r>
      <w:r>
        <w:rPr>
          <w:rFonts w:eastAsia="方正仿宋简体"/>
          <w:sz w:val="28"/>
          <w:szCs w:val="28"/>
        </w:rPr>
        <w:t>负责学院转专业工作的组织实施和考核内容的确定。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（三）转专业监督小组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组长：</w:t>
      </w:r>
      <w:r>
        <w:rPr>
          <w:rFonts w:hint="eastAsia" w:eastAsia="方正仿宋简体"/>
          <w:sz w:val="28"/>
          <w:szCs w:val="28"/>
        </w:rPr>
        <w:t>涂静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成员：衡蓉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职责：</w:t>
      </w:r>
      <w:r>
        <w:rPr>
          <w:rFonts w:eastAsia="方正仿宋简体"/>
          <w:sz w:val="28"/>
          <w:szCs w:val="28"/>
        </w:rPr>
        <w:t>负责对转专业工作的监督工作。</w:t>
      </w:r>
    </w:p>
    <w:p>
      <w:pPr>
        <w:pStyle w:val="7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三</w:t>
      </w:r>
      <w:r>
        <w:rPr>
          <w:rFonts w:hint="eastAsia" w:ascii="Times New Roman" w:hAnsi="Times New Roman" w:eastAsia="黑体"/>
          <w:sz w:val="28"/>
          <w:szCs w:val="28"/>
        </w:rPr>
        <w:t>、转专业招生计划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869"/>
        <w:gridCol w:w="2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招生专业</w:t>
            </w:r>
          </w:p>
        </w:tc>
        <w:tc>
          <w:tcPr>
            <w:tcW w:w="1683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招生计划（人）</w:t>
            </w:r>
          </w:p>
        </w:tc>
        <w:tc>
          <w:tcPr>
            <w:tcW w:w="1658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财务管理</w:t>
            </w:r>
          </w:p>
        </w:tc>
        <w:tc>
          <w:tcPr>
            <w:tcW w:w="1683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15</w:t>
            </w:r>
          </w:p>
        </w:tc>
        <w:tc>
          <w:tcPr>
            <w:tcW w:w="1658" w:type="pct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会计学</w:t>
            </w:r>
          </w:p>
        </w:tc>
        <w:tc>
          <w:tcPr>
            <w:tcW w:w="1683" w:type="pct"/>
          </w:tcPr>
          <w:p>
            <w:pPr>
              <w:ind w:firstLine="200"/>
              <w:jc w:val="center"/>
              <w:rPr>
                <w:rFonts w:hint="eastAsia" w:eastAsia="方正仿宋简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2</w:t>
            </w:r>
            <w:r>
              <w:rPr>
                <w:rFonts w:hint="eastAsia" w:eastAsia="方正仿宋简体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58" w:type="pct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审计学</w:t>
            </w:r>
          </w:p>
        </w:tc>
        <w:tc>
          <w:tcPr>
            <w:tcW w:w="1683" w:type="pct"/>
          </w:tcPr>
          <w:p>
            <w:pPr>
              <w:ind w:firstLine="200"/>
              <w:jc w:val="center"/>
              <w:rPr>
                <w:rFonts w:hint="eastAsia" w:eastAsia="方正仿宋简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1</w:t>
            </w:r>
            <w:r>
              <w:rPr>
                <w:rFonts w:hint="eastAsia" w:eastAsia="方正仿宋简体"/>
                <w:kern w:val="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658" w:type="pct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工商管理</w:t>
            </w:r>
          </w:p>
        </w:tc>
        <w:tc>
          <w:tcPr>
            <w:tcW w:w="1683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20</w:t>
            </w:r>
          </w:p>
        </w:tc>
        <w:tc>
          <w:tcPr>
            <w:tcW w:w="1658" w:type="pct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国际经济与贸易</w:t>
            </w:r>
          </w:p>
        </w:tc>
        <w:tc>
          <w:tcPr>
            <w:tcW w:w="1683" w:type="pct"/>
          </w:tcPr>
          <w:p>
            <w:pPr>
              <w:ind w:firstLine="200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hint="eastAsia" w:eastAsia="方正仿宋简体"/>
                <w:kern w:val="0"/>
                <w:sz w:val="28"/>
                <w:szCs w:val="28"/>
              </w:rPr>
              <w:t>15</w:t>
            </w:r>
          </w:p>
        </w:tc>
        <w:tc>
          <w:tcPr>
            <w:tcW w:w="1658" w:type="pct"/>
          </w:tcPr>
          <w:p>
            <w:pPr>
              <w:pStyle w:val="7"/>
              <w:spacing w:line="240" w:lineRule="auto"/>
              <w:ind w:firstLine="0" w:firstLineChars="0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</w:p>
        </w:tc>
      </w:tr>
    </w:tbl>
    <w:p>
      <w:pPr>
        <w:pStyle w:val="7"/>
        <w:spacing w:line="480" w:lineRule="exact"/>
        <w:ind w:firstLine="560"/>
        <w:rPr>
          <w:rFonts w:ascii="Times New Roman" w:hAnsi="Times New Roman" w:eastAsia="黑体"/>
          <w:sz w:val="28"/>
          <w:szCs w:val="32"/>
        </w:rPr>
      </w:pPr>
      <w:r>
        <w:rPr>
          <w:rFonts w:hint="eastAsia" w:ascii="Times New Roman" w:hAnsi="Times New Roman" w:eastAsia="黑体"/>
          <w:sz w:val="28"/>
          <w:szCs w:val="32"/>
          <w:lang w:eastAsia="zh-CN"/>
        </w:rPr>
        <w:t>四</w:t>
      </w:r>
      <w:r>
        <w:rPr>
          <w:rFonts w:ascii="Times New Roman" w:hAnsi="Times New Roman" w:eastAsia="黑体"/>
          <w:sz w:val="28"/>
          <w:szCs w:val="32"/>
        </w:rPr>
        <w:t>、转专业考核形式与</w:t>
      </w:r>
      <w:r>
        <w:rPr>
          <w:rFonts w:hint="eastAsia" w:ascii="Times New Roman" w:hAnsi="Times New Roman" w:eastAsia="黑体"/>
          <w:sz w:val="28"/>
          <w:szCs w:val="32"/>
        </w:rPr>
        <w:t>评分标准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考核形式：面试。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考核内容：自我介绍（含思想政治素质考核）（5%）；对转入专业的认识和转专业理由（50%）；知识、能力、素质（40%）；未来发展目标（5%）；考核总分为100分。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306"/>
        <w:gridCol w:w="1154"/>
        <w:gridCol w:w="486"/>
        <w:gridCol w:w="1654"/>
        <w:gridCol w:w="1527"/>
        <w:gridCol w:w="1398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" w:hRule="atLeast"/>
          <w:jc w:val="center"/>
        </w:trPr>
        <w:tc>
          <w:tcPr>
            <w:tcW w:w="45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专业综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合能力</w:t>
            </w:r>
          </w:p>
        </w:tc>
        <w:tc>
          <w:tcPr>
            <w:tcW w:w="71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考 核 项 目</w:t>
            </w:r>
          </w:p>
        </w:tc>
        <w:tc>
          <w:tcPr>
            <w:tcW w:w="3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优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良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合格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5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自我介绍部分</w:t>
            </w:r>
          </w:p>
        </w:tc>
        <w:tc>
          <w:tcPr>
            <w:tcW w:w="3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1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自我介绍表述清晰，详尽，语言表达能力好，条理清楚。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自我介绍表述较为清晰，详尽，语言表达能力较好，条理较清楚。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自我介绍表述一般，不够详尽，语言表达能力尚可，条理一般。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自我介绍表述含混不清，较为简单，语言表达能力不好，条理混乱。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5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转入专业的认识和转专业理由</w:t>
            </w:r>
          </w:p>
        </w:tc>
        <w:tc>
          <w:tcPr>
            <w:tcW w:w="3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50-40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39-30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1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对相关专业认识全面、深刻，逻辑强、准确性高，转专业理由充分，并经过深思熟路，对未来有较为成型的规划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对相关专业认识具有一定深度，逻辑性好，转专业理由较为充分，对未来有一定想法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能部分了解相关专业情况，具有一定逻辑性，转专业理由一般，对未来想法一般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不能准确正确了解相关专业情况，具有一定逻辑性，转专业理由随意，对未来无规划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5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知识、能力、素质考查</w:t>
            </w:r>
          </w:p>
        </w:tc>
        <w:tc>
          <w:tcPr>
            <w:tcW w:w="3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40-30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29-20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19-10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9-0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1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5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未来发展预期</w:t>
            </w:r>
          </w:p>
        </w:tc>
        <w:tc>
          <w:tcPr>
            <w:tcW w:w="3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5-4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3-2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91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" w:hRule="atLeast"/>
          <w:jc w:val="center"/>
        </w:trPr>
        <w:tc>
          <w:tcPr>
            <w:tcW w:w="453" w:type="pct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bCs/>
                <w:color w:val="333333"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3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9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100-78</w:t>
            </w:r>
          </w:p>
        </w:tc>
        <w:tc>
          <w:tcPr>
            <w:tcW w:w="9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77-54</w:t>
            </w:r>
          </w:p>
        </w:tc>
        <w:tc>
          <w:tcPr>
            <w:tcW w:w="8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53-32</w:t>
            </w:r>
          </w:p>
        </w:tc>
        <w:tc>
          <w:tcPr>
            <w:tcW w:w="7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仿宋简体"/>
                <w:color w:val="333333"/>
                <w:kern w:val="0"/>
                <w:sz w:val="18"/>
                <w:szCs w:val="18"/>
              </w:rPr>
            </w:pPr>
            <w:r>
              <w:rPr>
                <w:rFonts w:eastAsia="方正仿宋简体"/>
                <w:color w:val="333333"/>
                <w:kern w:val="0"/>
                <w:sz w:val="18"/>
                <w:szCs w:val="18"/>
              </w:rPr>
              <w:t>31-0</w:t>
            </w:r>
          </w:p>
        </w:tc>
      </w:tr>
    </w:tbl>
    <w:p>
      <w:pPr>
        <w:pStyle w:val="7"/>
        <w:spacing w:line="480" w:lineRule="exact"/>
        <w:ind w:firstLine="560"/>
        <w:rPr>
          <w:rFonts w:ascii="Times New Roman" w:hAnsi="Times New Roman" w:eastAsia="黑体"/>
          <w:sz w:val="28"/>
          <w:szCs w:val="32"/>
        </w:rPr>
      </w:pPr>
    </w:p>
    <w:p>
      <w:pPr>
        <w:pStyle w:val="7"/>
        <w:spacing w:line="480" w:lineRule="exact"/>
        <w:ind w:firstLine="560"/>
        <w:rPr>
          <w:rFonts w:ascii="Times New Roman" w:hAnsi="Times New Roman" w:eastAsia="黑体"/>
          <w:sz w:val="28"/>
          <w:szCs w:val="32"/>
        </w:rPr>
      </w:pPr>
      <w:r>
        <w:rPr>
          <w:rFonts w:hint="eastAsia" w:ascii="Times New Roman" w:hAnsi="Times New Roman" w:eastAsia="黑体"/>
          <w:sz w:val="28"/>
          <w:szCs w:val="32"/>
          <w:lang w:eastAsia="zh-CN"/>
        </w:rPr>
        <w:t>五</w:t>
      </w:r>
      <w:r>
        <w:rPr>
          <w:rFonts w:ascii="Times New Roman" w:hAnsi="Times New Roman" w:eastAsia="黑体"/>
          <w:sz w:val="28"/>
          <w:szCs w:val="32"/>
        </w:rPr>
        <w:t>、咨询电话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>咨询电话：84616071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  <w:lang w:eastAsia="zh-CN"/>
        </w:rPr>
        <w:t>六</w:t>
      </w:r>
      <w:r>
        <w:rPr>
          <w:rFonts w:eastAsia="黑体"/>
          <w:sz w:val="28"/>
          <w:szCs w:val="32"/>
        </w:rPr>
        <w:t>、投诉电话</w:t>
      </w:r>
    </w:p>
    <w:p>
      <w:pPr>
        <w:ind w:firstLine="560" w:firstLineChars="200"/>
        <w:jc w:val="left"/>
      </w:pPr>
      <w:r>
        <w:rPr>
          <w:rFonts w:eastAsia="方正仿宋简体"/>
          <w:sz w:val="28"/>
          <w:szCs w:val="28"/>
        </w:rPr>
        <w:t>投诉电话：84616072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2199"/>
    <w:rsid w:val="00171A3C"/>
    <w:rsid w:val="00217177"/>
    <w:rsid w:val="002178D0"/>
    <w:rsid w:val="00261239"/>
    <w:rsid w:val="00291F78"/>
    <w:rsid w:val="00387E7C"/>
    <w:rsid w:val="003917FB"/>
    <w:rsid w:val="003D722E"/>
    <w:rsid w:val="00410B73"/>
    <w:rsid w:val="00422512"/>
    <w:rsid w:val="004E5B61"/>
    <w:rsid w:val="00522E7D"/>
    <w:rsid w:val="0057434C"/>
    <w:rsid w:val="00626FA3"/>
    <w:rsid w:val="006C126B"/>
    <w:rsid w:val="007106FB"/>
    <w:rsid w:val="00737764"/>
    <w:rsid w:val="00797B2B"/>
    <w:rsid w:val="00824F0C"/>
    <w:rsid w:val="008D342E"/>
    <w:rsid w:val="00902199"/>
    <w:rsid w:val="009A088B"/>
    <w:rsid w:val="009B0162"/>
    <w:rsid w:val="00A13796"/>
    <w:rsid w:val="00A27369"/>
    <w:rsid w:val="00AA2E83"/>
    <w:rsid w:val="00C525AA"/>
    <w:rsid w:val="00CF7343"/>
    <w:rsid w:val="00D57244"/>
    <w:rsid w:val="00DA6CC8"/>
    <w:rsid w:val="00E72C8F"/>
    <w:rsid w:val="00EC1EE7"/>
    <w:rsid w:val="00F648D8"/>
    <w:rsid w:val="00F67A11"/>
    <w:rsid w:val="034C266D"/>
    <w:rsid w:val="478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character" w:customStyle="1" w:styleId="8">
    <w:name w:val="页眉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200</Words>
  <Characters>1146</Characters>
  <Lines>9</Lines>
  <Paragraphs>2</Paragraphs>
  <TotalTime>35</TotalTime>
  <ScaleCrop>false</ScaleCrop>
  <LinksUpToDate>false</LinksUpToDate>
  <CharactersWithSpaces>1344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2021-01-07T01:17:00Z</dcterms:created>
  <dc:creator>Lenovo</dc:creator>
  <cp:lastModifiedBy>随风</cp:lastModifiedBy>
  <cp:lastPrinted>2021-01-12T09:56:42Z</cp:lastPrinted>
  <dcterms:modified xsi:type="dcterms:W3CDTF">2021-01-12T10:12:41Z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384534461_btnclosed</vt:lpwstr>
  </property>
  <property fmtid="{D5CDD505-2E9C-101B-9397-08002B2CF9AE}" pid="3" name="KSOProductBuildVer">
    <vt:lpwstr>2052-11.1.0.10228</vt:lpwstr>
  </property>
</Properties>
</file>