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成都大学计算机学院</w:t>
      </w: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2021 级本科学生转专业工作方案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为充分体现“以人为本”的教育理念，尊重学生个人志向，发挥学生专长，激发学生学习积极性、主动性，根据《成都大学全日制普通本专科学生学分制学籍管理规定（修订）》（成大发〔2017〕22号），结合学院实际，特制定此工作方案。</w:t>
      </w:r>
      <w:bookmarkStart w:id="0" w:name="_GoBack"/>
      <w:bookmarkEnd w:id="0"/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一、转专业工作组</w:t>
      </w:r>
    </w:p>
    <w:p>
      <w:pPr>
        <w:ind w:firstLine="420" w:firstLineChars="15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  长：高朝邦</w:t>
      </w:r>
    </w:p>
    <w:p>
      <w:pPr>
        <w:ind w:left="1540" w:leftChars="200" w:hanging="1120" w:hangingChars="4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成  员：肖小琼、古沐松、王进、</w:t>
      </w:r>
      <w:r>
        <w:rPr>
          <w:rFonts w:hint="eastAsia" w:eastAsia="方正仿宋简体"/>
          <w:sz w:val="28"/>
          <w:szCs w:val="28"/>
        </w:rPr>
        <w:t>刘昶、</w:t>
      </w:r>
      <w:r>
        <w:rPr>
          <w:rFonts w:eastAsia="方正仿宋简体"/>
          <w:sz w:val="28"/>
          <w:szCs w:val="28"/>
        </w:rPr>
        <w:t>孟源、曾宇、韩祺祎、</w:t>
      </w:r>
      <w:r>
        <w:rPr>
          <w:rFonts w:hint="eastAsia" w:eastAsia="方正仿宋简体"/>
          <w:sz w:val="28"/>
          <w:szCs w:val="28"/>
        </w:rPr>
        <w:t>范文杰、韩天勇、秦玲</w:t>
      </w:r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二、转专业招生计划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2693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  <w:szCs w:val="28"/>
              </w:rPr>
              <w:t>招生专业</w:t>
            </w:r>
          </w:p>
        </w:tc>
        <w:tc>
          <w:tcPr>
            <w:tcW w:w="2693" w:type="dxa"/>
          </w:tcPr>
          <w:p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  <w:szCs w:val="28"/>
              </w:rPr>
              <w:t>招生计划</w:t>
            </w:r>
          </w:p>
        </w:tc>
        <w:tc>
          <w:tcPr>
            <w:tcW w:w="2460" w:type="dxa"/>
          </w:tcPr>
          <w:p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pStyle w:val="9"/>
              <w:spacing w:line="240" w:lineRule="auto"/>
              <w:ind w:firstLine="0" w:firstLineChars="0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计算机科学与技术</w:t>
            </w:r>
          </w:p>
        </w:tc>
        <w:tc>
          <w:tcPr>
            <w:tcW w:w="2693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2460" w:type="dxa"/>
          </w:tcPr>
          <w:p>
            <w:pPr>
              <w:pStyle w:val="9"/>
              <w:spacing w:line="240" w:lineRule="auto"/>
              <w:ind w:firstLine="0" w:firstLineChars="0"/>
              <w:rPr>
                <w:rFonts w:ascii="Times New Roman" w:hAnsi="Times New Roman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pStyle w:val="9"/>
              <w:spacing w:line="240" w:lineRule="auto"/>
              <w:ind w:firstLine="0" w:firstLineChars="0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软件工程</w:t>
            </w:r>
          </w:p>
        </w:tc>
        <w:tc>
          <w:tcPr>
            <w:tcW w:w="2693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2460" w:type="dxa"/>
          </w:tcPr>
          <w:p>
            <w:pPr>
              <w:pStyle w:val="9"/>
              <w:spacing w:line="240" w:lineRule="auto"/>
              <w:ind w:firstLine="0" w:firstLineChars="0"/>
              <w:rPr>
                <w:rFonts w:ascii="Times New Roman" w:hAnsi="Times New Roman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pStyle w:val="9"/>
              <w:spacing w:line="240" w:lineRule="auto"/>
              <w:ind w:firstLine="0" w:firstLineChars="0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物联网工程</w:t>
            </w:r>
          </w:p>
        </w:tc>
        <w:tc>
          <w:tcPr>
            <w:tcW w:w="2693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10</w:t>
            </w:r>
          </w:p>
        </w:tc>
        <w:tc>
          <w:tcPr>
            <w:tcW w:w="2460" w:type="dxa"/>
          </w:tcPr>
          <w:p>
            <w:pPr>
              <w:pStyle w:val="9"/>
              <w:spacing w:line="240" w:lineRule="auto"/>
              <w:ind w:firstLine="0" w:firstLineChars="0"/>
              <w:rPr>
                <w:rFonts w:ascii="Times New Roman" w:hAnsi="Times New Roman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pStyle w:val="9"/>
              <w:spacing w:line="240" w:lineRule="auto"/>
              <w:ind w:firstLine="0" w:firstLineChars="0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网络工程</w:t>
            </w:r>
          </w:p>
        </w:tc>
        <w:tc>
          <w:tcPr>
            <w:tcW w:w="2693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10</w:t>
            </w:r>
          </w:p>
        </w:tc>
        <w:tc>
          <w:tcPr>
            <w:tcW w:w="2460" w:type="dxa"/>
          </w:tcPr>
          <w:p>
            <w:pPr>
              <w:pStyle w:val="9"/>
              <w:spacing w:line="240" w:lineRule="auto"/>
              <w:ind w:firstLine="0" w:firstLineChars="0"/>
              <w:rPr>
                <w:rFonts w:ascii="Times New Roman" w:hAnsi="Times New Roman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pStyle w:val="9"/>
              <w:spacing w:line="240" w:lineRule="auto"/>
              <w:ind w:firstLine="0" w:firstLineChars="0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数据科学与大数据</w:t>
            </w:r>
            <w:r>
              <w:rPr>
                <w:rFonts w:hint="eastAsia" w:ascii="Times New Roman" w:hAnsi="Times New Roman" w:eastAsia="黑体"/>
                <w:sz w:val="28"/>
                <w:szCs w:val="28"/>
              </w:rPr>
              <w:t>技术</w:t>
            </w:r>
          </w:p>
        </w:tc>
        <w:tc>
          <w:tcPr>
            <w:tcW w:w="2693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10</w:t>
            </w:r>
          </w:p>
        </w:tc>
        <w:tc>
          <w:tcPr>
            <w:tcW w:w="2460" w:type="dxa"/>
          </w:tcPr>
          <w:p>
            <w:pPr>
              <w:pStyle w:val="9"/>
              <w:spacing w:line="240" w:lineRule="auto"/>
              <w:ind w:firstLine="0" w:firstLineChars="0"/>
              <w:rPr>
                <w:rFonts w:ascii="Times New Roman" w:hAnsi="Times New Roman" w:eastAsia="黑体"/>
                <w:sz w:val="28"/>
                <w:szCs w:val="28"/>
              </w:rPr>
            </w:pPr>
          </w:p>
        </w:tc>
      </w:tr>
    </w:tbl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三、转专业工作原则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严格按照《成都大学全日制普通本专科学生学分制学籍管理规定（修订）》和《成都大学本科学生转专业规定（2019年修订）》的要</w:t>
      </w:r>
    </w:p>
    <w:p>
      <w:pPr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求，广泛宣传，精心组织，严格考核，择优转入。</w:t>
      </w:r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四、转专业考核形式及评分标准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（一）考核形式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考核采取闭卷笔试和面试相结合的方式。考核成绩采取百分制计分。其中，</w:t>
      </w:r>
      <w:r>
        <w:rPr>
          <w:rFonts w:hint="eastAsia" w:eastAsia="方正仿宋简体"/>
          <w:sz w:val="28"/>
          <w:szCs w:val="28"/>
        </w:rPr>
        <w:t>要求笔试成绩</w:t>
      </w:r>
      <w:r>
        <w:rPr>
          <w:rFonts w:eastAsia="方正仿宋简体"/>
          <w:sz w:val="28"/>
          <w:szCs w:val="28"/>
        </w:rPr>
        <w:t>≥6</w:t>
      </w:r>
      <w:r>
        <w:rPr>
          <w:rFonts w:hint="eastAsia" w:eastAsia="方正仿宋简体"/>
          <w:sz w:val="28"/>
          <w:szCs w:val="28"/>
        </w:rPr>
        <w:t>0分。</w:t>
      </w:r>
      <w:r>
        <w:rPr>
          <w:rFonts w:eastAsia="方正仿宋简体"/>
          <w:sz w:val="28"/>
          <w:szCs w:val="28"/>
        </w:rPr>
        <w:t>笔试成绩占50%，面试成绩占50%。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（二）</w:t>
      </w:r>
      <w:r>
        <w:rPr>
          <w:rFonts w:eastAsia="方正仿宋简体"/>
          <w:sz w:val="28"/>
          <w:szCs w:val="28"/>
        </w:rPr>
        <w:t>考核内容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笔试</w:t>
      </w:r>
      <w:r>
        <w:rPr>
          <w:rFonts w:hint="eastAsia" w:eastAsia="方正仿宋简体"/>
          <w:sz w:val="28"/>
          <w:szCs w:val="28"/>
        </w:rPr>
        <w:t>：C语言程序设计</w:t>
      </w:r>
      <w:r>
        <w:rPr>
          <w:rFonts w:eastAsia="方正仿宋简体"/>
          <w:sz w:val="28"/>
          <w:szCs w:val="28"/>
        </w:rPr>
        <w:t>（</w:t>
      </w:r>
      <w:r>
        <w:rPr>
          <w:rFonts w:hint="eastAsia" w:eastAsia="方正仿宋简体"/>
          <w:sz w:val="28"/>
          <w:szCs w:val="28"/>
        </w:rPr>
        <w:t>笔试时间，</w:t>
      </w:r>
      <w:r>
        <w:rPr>
          <w:rFonts w:eastAsia="方正仿宋简体"/>
          <w:sz w:val="28"/>
          <w:szCs w:val="28"/>
        </w:rPr>
        <w:t>120分钟），考生应</w:t>
      </w:r>
      <w:r>
        <w:rPr>
          <w:rFonts w:hint="eastAsia" w:eastAsia="方正仿宋简体"/>
          <w:sz w:val="28"/>
          <w:szCs w:val="28"/>
        </w:rPr>
        <w:t>具备C语言基础知识，控制结构，程序编程等相关须知识。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笔</w:t>
      </w:r>
      <w:r>
        <w:rPr>
          <w:rFonts w:eastAsia="方正仿宋简体"/>
          <w:sz w:val="28"/>
          <w:szCs w:val="28"/>
        </w:rPr>
        <w:t>试评分标准见下表</w:t>
      </w:r>
      <w:r>
        <w:rPr>
          <w:rFonts w:hint="eastAsia" w:eastAsia="方正仿宋简体"/>
          <w:sz w:val="28"/>
          <w:szCs w:val="28"/>
        </w:rPr>
        <w:t>：</w:t>
      </w:r>
    </w:p>
    <w:p>
      <w:pPr>
        <w:jc w:val="center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笔试</w:t>
      </w:r>
      <w:r>
        <w:rPr>
          <w:rFonts w:eastAsia="方正仿宋简体"/>
          <w:sz w:val="28"/>
          <w:szCs w:val="28"/>
        </w:rPr>
        <w:t>评分标准</w:t>
      </w:r>
    </w:p>
    <w:tbl>
      <w:tblPr>
        <w:tblStyle w:val="7"/>
        <w:tblW w:w="93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2675"/>
        <w:gridCol w:w="906"/>
        <w:gridCol w:w="1239"/>
        <w:gridCol w:w="1239"/>
        <w:gridCol w:w="1241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749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Cs w:val="21"/>
              </w:rPr>
              <w:t>序号</w:t>
            </w:r>
          </w:p>
        </w:tc>
        <w:tc>
          <w:tcPr>
            <w:tcW w:w="2675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Cs w:val="21"/>
              </w:rPr>
              <w:t>笔试环节</w:t>
            </w:r>
          </w:p>
        </w:tc>
        <w:tc>
          <w:tcPr>
            <w:tcW w:w="5974" w:type="dxa"/>
            <w:gridSpan w:val="5"/>
          </w:tcPr>
          <w:p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Cs w:val="21"/>
              </w:rPr>
              <w:t>笔试评分标准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749" w:type="dxa"/>
            <w:vMerge w:val="continue"/>
          </w:tcPr>
          <w:p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</w:p>
        </w:tc>
        <w:tc>
          <w:tcPr>
            <w:tcW w:w="2675" w:type="dxa"/>
            <w:vMerge w:val="continue"/>
          </w:tcPr>
          <w:p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</w:p>
        </w:tc>
        <w:tc>
          <w:tcPr>
            <w:tcW w:w="906" w:type="dxa"/>
          </w:tcPr>
          <w:p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Cs w:val="21"/>
              </w:rPr>
              <w:t>优秀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Cs w:val="21"/>
              </w:rPr>
              <w:t>良好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Cs w:val="21"/>
              </w:rPr>
              <w:t>一般</w:t>
            </w:r>
          </w:p>
        </w:tc>
        <w:tc>
          <w:tcPr>
            <w:tcW w:w="1241" w:type="dxa"/>
          </w:tcPr>
          <w:p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Cs w:val="21"/>
              </w:rPr>
              <w:t>合格</w:t>
            </w:r>
          </w:p>
        </w:tc>
        <w:tc>
          <w:tcPr>
            <w:tcW w:w="1349" w:type="dxa"/>
          </w:tcPr>
          <w:p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49" w:type="dxa"/>
          </w:tcPr>
          <w:p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Cs w:val="21"/>
              </w:rPr>
              <w:t>1</w:t>
            </w:r>
          </w:p>
        </w:tc>
        <w:tc>
          <w:tcPr>
            <w:tcW w:w="2675" w:type="dxa"/>
          </w:tcPr>
          <w:p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Cs w:val="21"/>
              </w:rPr>
              <w:t>C语言程序设计（100分）</w:t>
            </w:r>
          </w:p>
        </w:tc>
        <w:tc>
          <w:tcPr>
            <w:tcW w:w="906" w:type="dxa"/>
          </w:tcPr>
          <w:p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Cs w:val="21"/>
              </w:rPr>
              <w:t>90-100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Cs w:val="21"/>
              </w:rPr>
              <w:t>80-89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Cs w:val="21"/>
              </w:rPr>
              <w:t>70-79</w:t>
            </w:r>
          </w:p>
        </w:tc>
        <w:tc>
          <w:tcPr>
            <w:tcW w:w="1241" w:type="dxa"/>
          </w:tcPr>
          <w:p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Cs w:val="21"/>
              </w:rPr>
              <w:t>60-69</w:t>
            </w:r>
          </w:p>
        </w:tc>
        <w:tc>
          <w:tcPr>
            <w:tcW w:w="1349" w:type="dxa"/>
          </w:tcPr>
          <w:p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Cs w:val="21"/>
              </w:rPr>
              <w:t>59及以下</w:t>
            </w:r>
          </w:p>
        </w:tc>
      </w:tr>
    </w:tbl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面试：思想政治道德素养考核、对转入专业的认知和转专业理由、知识能力素质。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面试评分标准见下表</w:t>
      </w:r>
      <w:r>
        <w:rPr>
          <w:rFonts w:hint="eastAsia" w:eastAsia="方正仿宋简体"/>
          <w:sz w:val="28"/>
          <w:szCs w:val="28"/>
        </w:rPr>
        <w:t>：</w:t>
      </w:r>
    </w:p>
    <w:tbl>
      <w:tblPr>
        <w:tblStyle w:val="6"/>
        <w:tblW w:w="96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396"/>
        <w:gridCol w:w="1175"/>
        <w:gridCol w:w="762"/>
        <w:gridCol w:w="1714"/>
        <w:gridCol w:w="1714"/>
        <w:gridCol w:w="1714"/>
        <w:gridCol w:w="1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7" w:hRule="atLeast"/>
          <w:jc w:val="center"/>
        </w:trPr>
        <w:tc>
          <w:tcPr>
            <w:tcW w:w="42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Cs w:val="21"/>
              </w:rPr>
            </w:pPr>
            <w:r>
              <w:rPr>
                <w:rFonts w:eastAsia="方正仿宋简体"/>
                <w:color w:val="333333"/>
                <w:kern w:val="0"/>
                <w:szCs w:val="21"/>
              </w:rPr>
              <w:t>专业综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5"/>
                <w:szCs w:val="15"/>
              </w:rPr>
            </w:pPr>
            <w:r>
              <w:rPr>
                <w:rFonts w:eastAsia="方正仿宋简体"/>
                <w:color w:val="333333"/>
                <w:kern w:val="0"/>
                <w:szCs w:val="21"/>
              </w:rPr>
              <w:t>合能力</w:t>
            </w:r>
          </w:p>
        </w:tc>
        <w:tc>
          <w:tcPr>
            <w:tcW w:w="1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考核项目</w:t>
            </w:r>
          </w:p>
        </w:tc>
        <w:tc>
          <w:tcPr>
            <w:tcW w:w="7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总分100分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优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良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合格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 w:hRule="atLeast"/>
          <w:jc w:val="center"/>
        </w:trPr>
        <w:tc>
          <w:tcPr>
            <w:tcW w:w="421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3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1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自我介绍部分</w:t>
            </w:r>
          </w:p>
        </w:tc>
        <w:tc>
          <w:tcPr>
            <w:tcW w:w="76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20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20-16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15-8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7-4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" w:hRule="atLeast"/>
          <w:jc w:val="center"/>
        </w:trPr>
        <w:tc>
          <w:tcPr>
            <w:tcW w:w="421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39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自我介绍表述清晰，详尽，语言表达能力好，条理清楚。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自我介绍表述较为清晰，详尽，语言表达能力较好，条理较清楚。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自我介绍表述一般，不够详尽，语言表达能力尚可，条理一般。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自我介绍表述含混不清，较为简单，语言表达能力不好，条理混乱。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  <w:jc w:val="center"/>
        </w:trPr>
        <w:tc>
          <w:tcPr>
            <w:tcW w:w="421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3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11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转入专业的认识和转专业理由</w:t>
            </w:r>
          </w:p>
        </w:tc>
        <w:tc>
          <w:tcPr>
            <w:tcW w:w="76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40-30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29-20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19-10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9-0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1" w:hRule="atLeast"/>
          <w:jc w:val="center"/>
        </w:trPr>
        <w:tc>
          <w:tcPr>
            <w:tcW w:w="421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39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对相关专业认识全面、深刻，逻辑强、准确性高，转专业理由充分，并经过深思熟路，对未来有较为成型的规划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对相关专业认识具有一定深度，逻辑性好，转专业理由较为充分，对未来有一定想法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能部分了解相关专业情况，具有一定逻辑性，转专业理由一般，对未来想法一般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不能准确正确了解相关专业情况，具有一定逻辑性，转专业理由随意，对未来无规划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9" w:hRule="atLeast"/>
          <w:jc w:val="center"/>
        </w:trPr>
        <w:tc>
          <w:tcPr>
            <w:tcW w:w="421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3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11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知识、能力、素质考查</w:t>
            </w:r>
          </w:p>
        </w:tc>
        <w:tc>
          <w:tcPr>
            <w:tcW w:w="76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40-30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29-20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19-10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9-0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3" w:hRule="atLeast"/>
          <w:jc w:val="center"/>
        </w:trPr>
        <w:tc>
          <w:tcPr>
            <w:tcW w:w="421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39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能及时准确回答评委有关转入专业的提问，有创新思维和自我分析解决问题能力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能较准确回答评委有关转入专业的提问，有一定创新思维和自我分析解决问题能力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能及时回答评委有关转入专业的提问，但准确性一般，有一定创新思维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不能准确回答评委有关转入专业的提问，创新思维和自我分析解决能力差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 w:hRule="atLeast"/>
          <w:jc w:val="center"/>
        </w:trPr>
        <w:tc>
          <w:tcPr>
            <w:tcW w:w="9611" w:type="dxa"/>
            <w:gridSpan w:val="8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备注：每位转专业学生自我陈述3分钟；考核小组提问3分钟</w:t>
            </w:r>
          </w:p>
        </w:tc>
      </w:tr>
    </w:tbl>
    <w:p>
      <w:pPr>
        <w:ind w:firstLine="560" w:firstLineChars="200"/>
        <w:jc w:val="left"/>
        <w:rPr>
          <w:rFonts w:eastAsia="方正仿宋简体"/>
          <w:sz w:val="28"/>
          <w:szCs w:val="28"/>
        </w:rPr>
      </w:pPr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五</w:t>
      </w:r>
      <w:r>
        <w:rPr>
          <w:rFonts w:ascii="Times New Roman" w:hAnsi="Times New Roman" w:eastAsia="黑体"/>
          <w:sz w:val="28"/>
          <w:szCs w:val="28"/>
        </w:rPr>
        <w:t>、咨询电话：84616</w:t>
      </w:r>
      <w:r>
        <w:rPr>
          <w:rFonts w:hint="eastAsia" w:ascii="Times New Roman" w:hAnsi="Times New Roman" w:eastAsia="黑体"/>
          <w:sz w:val="28"/>
          <w:szCs w:val="28"/>
        </w:rPr>
        <w:t>938</w:t>
      </w:r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六</w:t>
      </w:r>
      <w:r>
        <w:rPr>
          <w:rFonts w:ascii="Times New Roman" w:hAnsi="Times New Roman" w:eastAsia="黑体"/>
          <w:sz w:val="28"/>
          <w:szCs w:val="28"/>
        </w:rPr>
        <w:t>、投诉电话：84616</w:t>
      </w:r>
      <w:r>
        <w:rPr>
          <w:rFonts w:hint="eastAsia" w:ascii="Times New Roman" w:hAnsi="Times New Roman" w:eastAsia="黑体"/>
          <w:sz w:val="28"/>
          <w:szCs w:val="28"/>
        </w:rPr>
        <w:t>783</w:t>
      </w:r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eastAsia="黑体"/>
          <w:sz w:val="28"/>
          <w:szCs w:val="32"/>
        </w:rPr>
        <w:t>七</w:t>
      </w:r>
      <w:r>
        <w:rPr>
          <w:rFonts w:eastAsia="黑体"/>
          <w:sz w:val="28"/>
          <w:szCs w:val="32"/>
        </w:rPr>
        <w:t>、本方案未尽事宜，由</w:t>
      </w:r>
      <w:r>
        <w:rPr>
          <w:rFonts w:hint="eastAsia" w:eastAsia="黑体"/>
          <w:sz w:val="28"/>
          <w:szCs w:val="32"/>
        </w:rPr>
        <w:t>计算机</w:t>
      </w:r>
      <w:r>
        <w:rPr>
          <w:rFonts w:eastAsia="黑体"/>
          <w:sz w:val="28"/>
          <w:szCs w:val="32"/>
        </w:rPr>
        <w:t>学院转专业工作组决议为准</w:t>
      </w:r>
    </w:p>
    <w:p>
      <w:pPr>
        <w:widowControl/>
        <w:shd w:val="clear" w:color="auto" w:fill="FFFFFF"/>
        <w:textAlignment w:val="baseline"/>
        <w:rPr>
          <w:rFonts w:eastAsia="方正仿宋简体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28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6CF3"/>
    <w:rsid w:val="0004022D"/>
    <w:rsid w:val="000504CF"/>
    <w:rsid w:val="000646FE"/>
    <w:rsid w:val="00066424"/>
    <w:rsid w:val="00075047"/>
    <w:rsid w:val="000D55B2"/>
    <w:rsid w:val="000E5F25"/>
    <w:rsid w:val="001005E2"/>
    <w:rsid w:val="00166CF3"/>
    <w:rsid w:val="00180F16"/>
    <w:rsid w:val="001B1A4D"/>
    <w:rsid w:val="00260388"/>
    <w:rsid w:val="002B07D8"/>
    <w:rsid w:val="002C54FF"/>
    <w:rsid w:val="0033425F"/>
    <w:rsid w:val="003915EB"/>
    <w:rsid w:val="003D6646"/>
    <w:rsid w:val="003E1F83"/>
    <w:rsid w:val="00430C59"/>
    <w:rsid w:val="0044146A"/>
    <w:rsid w:val="0045406C"/>
    <w:rsid w:val="00470AE6"/>
    <w:rsid w:val="004C7033"/>
    <w:rsid w:val="00514861"/>
    <w:rsid w:val="00526AE3"/>
    <w:rsid w:val="00565678"/>
    <w:rsid w:val="005C0413"/>
    <w:rsid w:val="0066078F"/>
    <w:rsid w:val="00673092"/>
    <w:rsid w:val="006E4967"/>
    <w:rsid w:val="00722757"/>
    <w:rsid w:val="00724988"/>
    <w:rsid w:val="0083619A"/>
    <w:rsid w:val="00850C18"/>
    <w:rsid w:val="009435BB"/>
    <w:rsid w:val="00A12B5D"/>
    <w:rsid w:val="00A423E1"/>
    <w:rsid w:val="00B87EC1"/>
    <w:rsid w:val="00CC7829"/>
    <w:rsid w:val="00D519F9"/>
    <w:rsid w:val="00D61D13"/>
    <w:rsid w:val="00D80A05"/>
    <w:rsid w:val="00DD3F52"/>
    <w:rsid w:val="00E047D1"/>
    <w:rsid w:val="00F36E0D"/>
    <w:rsid w:val="00FB1977"/>
    <w:rsid w:val="1B6A1288"/>
    <w:rsid w:val="1DBFDF4C"/>
    <w:rsid w:val="23D6B96B"/>
    <w:rsid w:val="3C740C24"/>
    <w:rsid w:val="5F67019E"/>
    <w:rsid w:val="5FBF4721"/>
    <w:rsid w:val="6102567B"/>
    <w:rsid w:val="74B670CE"/>
    <w:rsid w:val="7ED95D74"/>
    <w:rsid w:val="9EBD2BBD"/>
    <w:rsid w:val="AFD3F30C"/>
    <w:rsid w:val="BFF98376"/>
    <w:rsid w:val="DFBB8870"/>
    <w:rsid w:val="EFFF5A98"/>
    <w:rsid w:val="F7FF470C"/>
    <w:rsid w:val="FD0B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  <w:szCs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样式1"/>
    <w:basedOn w:val="1"/>
    <w:qFormat/>
    <w:uiPriority w:val="0"/>
    <w:pPr>
      <w:spacing w:line="570" w:lineRule="exact"/>
      <w:ind w:firstLine="1680" w:firstLineChars="200"/>
    </w:pPr>
    <w:rPr>
      <w:rFonts w:ascii="Calibri" w:hAnsi="Calibri" w:eastAsia="方正仿宋简体"/>
      <w:sz w:val="32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1">
    <w:name w:val="标题 2 字符"/>
    <w:basedOn w:val="8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2">
    <w:name w:val="_Style 1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hAnsi="Calibri"/>
      <w:vanish/>
      <w:sz w:val="16"/>
    </w:rPr>
  </w:style>
  <w:style w:type="paragraph" w:customStyle="1" w:styleId="13">
    <w:name w:val="_Style 2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/>
      <w:vanish/>
      <w:sz w:val="16"/>
    </w:rPr>
  </w:style>
  <w:style w:type="paragraph" w:customStyle="1" w:styleId="14">
    <w:name w:val="_Style 2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hAnsi="Calibri"/>
      <w:vanish/>
      <w:sz w:val="16"/>
    </w:rPr>
  </w:style>
  <w:style w:type="paragraph" w:customStyle="1" w:styleId="15">
    <w:name w:val="列出段落11"/>
    <w:basedOn w:val="1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16">
    <w:name w:val="页眉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字符1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字符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200</Words>
  <Characters>1140</Characters>
  <Lines>9</Lines>
  <Paragraphs>2</Paragraphs>
  <TotalTime>12</TotalTime>
  <ScaleCrop>false</ScaleCrop>
  <LinksUpToDate>false</LinksUpToDate>
  <CharactersWithSpaces>1338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2020-01-14T16:54:00Z</dcterms:created>
  <dc:creator>Administrator</dc:creator>
  <cp:lastModifiedBy>随风</cp:lastModifiedBy>
  <dcterms:modified xsi:type="dcterms:W3CDTF">2021-12-23T06:05:31Z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384534461_btnclosed</vt:lpwstr>
  </property>
  <property fmtid="{D5CDD505-2E9C-101B-9397-08002B2CF9AE}" pid="3" name="KSOProductBuildVer">
    <vt:lpwstr>2052-11.1.0.11115</vt:lpwstr>
  </property>
  <property fmtid="{D5CDD505-2E9C-101B-9397-08002B2CF9AE}" pid="4" name="ICV">
    <vt:lpwstr>79D8D786DDF341FEB65B4EC739E98280</vt:lpwstr>
  </property>
</Properties>
</file>