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240" w:lineRule="auto"/>
        <w:ind w:left="0" w:leftChars="0" w:right="0" w:rightChars="0" w:firstLine="0" w:firstLineChars="0"/>
        <w:jc w:val="left"/>
        <w:textAlignment w:val="auto"/>
        <w:outlineLvl w:val="9"/>
        <w:rPr>
          <w:rFonts w:hint="eastAsia" w:ascii="方正小标宋简体" w:eastAsia="方正小标宋简体"/>
          <w:sz w:val="36"/>
          <w:szCs w:val="36"/>
        </w:rPr>
      </w:pPr>
      <w:r>
        <w:rPr>
          <w:rFonts w:hint="eastAsia" w:ascii="方正小标宋简体" w:eastAsia="方正小标宋简体"/>
          <w:sz w:val="36"/>
          <w:szCs w:val="36"/>
        </w:rPr>
        <w:t>附件</w:t>
      </w:r>
      <w:r>
        <w:rPr>
          <w:rFonts w:ascii="方正小标宋简体" w:eastAsia="方正小标宋简体"/>
          <w:sz w:val="36"/>
          <w:szCs w:val="36"/>
        </w:rPr>
        <w:t>：</w:t>
      </w:r>
      <w:r>
        <w:rPr>
          <w:rFonts w:hint="eastAsia" w:ascii="方正小标宋简体" w:eastAsia="方正小标宋简体"/>
          <w:sz w:val="36"/>
          <w:szCs w:val="36"/>
        </w:rPr>
        <w:t xml:space="preserve">                 201</w:t>
      </w:r>
      <w:r>
        <w:rPr>
          <w:rFonts w:hint="eastAsia" w:ascii="方正小标宋简体" w:eastAsia="方正小标宋简体"/>
          <w:sz w:val="36"/>
          <w:szCs w:val="36"/>
          <w:lang w:val="en-US" w:eastAsia="zh-CN"/>
        </w:rPr>
        <w:t>7</w:t>
      </w:r>
      <w:r>
        <w:rPr>
          <w:rFonts w:hint="eastAsia" w:ascii="方正小标宋简体" w:eastAsia="方正小标宋简体"/>
          <w:sz w:val="36"/>
          <w:szCs w:val="36"/>
        </w:rPr>
        <w:t>年</w:t>
      </w:r>
      <w:r>
        <w:rPr>
          <w:rFonts w:hint="eastAsia" w:ascii="方正小标宋简体" w:eastAsia="方正小标宋简体"/>
          <w:sz w:val="36"/>
          <w:szCs w:val="36"/>
          <w:lang w:eastAsia="zh-CN"/>
        </w:rPr>
        <w:t>第一批</w:t>
      </w:r>
      <w:r>
        <w:rPr>
          <w:rFonts w:hint="eastAsia" w:ascii="方正小标宋简体" w:eastAsia="方正小标宋简体"/>
          <w:sz w:val="36"/>
          <w:szCs w:val="36"/>
        </w:rPr>
        <w:t>产学合作协同育人项目简介</w:t>
      </w:r>
    </w:p>
    <w:tbl>
      <w:tblPr>
        <w:tblStyle w:val="8"/>
        <w:tblW w:w="14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55"/>
        <w:gridCol w:w="990"/>
        <w:gridCol w:w="5130"/>
        <w:gridCol w:w="855"/>
        <w:gridCol w:w="2415"/>
        <w:gridCol w:w="1275"/>
        <w:gridCol w:w="1245"/>
        <w:gridCol w:w="1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6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企业</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0"/>
                <w:szCs w:val="20"/>
                <w:u w:val="none"/>
                <w:lang w:val="en-US" w:eastAsia="zh-CN" w:bidi="ar"/>
              </w:rPr>
            </w:pPr>
            <w:r>
              <w:rPr>
                <w:rFonts w:hint="eastAsia" w:ascii="仿宋_GB2312" w:hAnsi="宋体" w:eastAsia="仿宋_GB2312" w:cs="仿宋_GB2312"/>
                <w:b/>
                <w:i w:val="0"/>
                <w:color w:val="000000"/>
                <w:kern w:val="0"/>
                <w:sz w:val="20"/>
                <w:szCs w:val="20"/>
                <w:u w:val="none"/>
                <w:lang w:val="en-US" w:eastAsia="zh-CN" w:bidi="ar"/>
              </w:rPr>
              <w:t>资助项目</w:t>
            </w:r>
          </w:p>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类型</w:t>
            </w:r>
          </w:p>
        </w:tc>
        <w:tc>
          <w:tcPr>
            <w:tcW w:w="5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项目简介</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项目数</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相关专业或产业技术方向</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面向对象</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网址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i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i w:val="0"/>
                <w:color w:val="000000"/>
                <w:sz w:val="20"/>
                <w:szCs w:val="20"/>
                <w:u w:val="none"/>
              </w:rPr>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i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i w:val="0"/>
                <w:color w:val="000000"/>
                <w:sz w:val="20"/>
                <w:szCs w:val="20"/>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教师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学生</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4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华为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计算机类和电子信息类专业教师，由华为公司提供经费、技术、平台的支持，将华为热门技术，如大数据、云计算、存储、数据中心、网络通信、网络安全等按照人才培养的最新需求引入到教学过程，通过课程、实训、课程设计的建设与改革，推动高校更新教学内容、完善课程体系，建成满足ICT行业发展需求的、可共享的课程资源，并能推广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大数据、云计算、存储、数据中心、网络通信、网络安全等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b/>
                <w:i w:val="0"/>
                <w:color w:val="000000" w:themeColor="text1"/>
                <w:sz w:val="18"/>
                <w:szCs w:val="18"/>
                <w:u w:val="none"/>
                <w:lang w:val="en-US" w:eastAsia="zh-CN"/>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"http://www.huaweiacad.com"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www.huaweiacad.com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3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本项目主要面向高校相关学院（系部、中心），由华为公司提供硬件、软件及平台支持，联合高校建设“华为信息与网络技术学院创新人才中心”，并开发相关的实践教学资源，提高实践教学水平。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大数据、云计算、存储、数据中心、网络通信、网络安全等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b/>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4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腾讯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本项目聚焦于培养学生对全新形态的互联网+产品运营思维及协作两大维度能力，同时通过项目实施，探索“互联网+”时代的创新产品运营模式，打造典型标杆案例。在吸收2016年腾讯创新创业训练项目成功经验基础上，探索更高效高质的校企合作模式，为社会输出更多具有商业、社会价值的优秀产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全日制在校学生</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"http://ur.tencent.com/article/220"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http://ur.tencent.com/article/220</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面向计算机、软件、电子信息、自动化、经济管理、创新创业学院及其他各院系，通过提供企业师资、开发平台、运营平台、传播平台及运营经费等资源完善高校创新创业体系。A类项目：高校创新创业教育体系建设；B类项目（定向）：建立高校学生双创实践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计算机、软件、电子信息、自动化、经济管理、创新创业等学院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"http://ur.tencent.com/article/219"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http://ur.tencent.com/article/219</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7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谷歌</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计划在课程建设、区域联盟、专业技术群、 青年教师奖教金四个方面支持教学内容和课程体系改革项目。 技术方向设定为：移动技术的应用与实践（Android+）、物联网应用开发、大数据分析和应用、人工智能（TensorFlow）和软件开发框架。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41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移动技术、物联网、大数据、人工智能等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http://www.google.cn/intl/zh-CN_cn/university/collaboration.html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资助大学生创新训练项目：基于Android的创新应用案例研究和开发；移动应用的安全机制研究；物联网典型应用（移动案例研究和开发等。资助大学生创业训练项目：基于Android的移动互联网创业训练项目。</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38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互联网+、移动技术、物联网等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http://www.google.cn/intl/zh-CN_cn/university/collaboration/student.html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针对 Android +、物联网应用开发、大数据分析和应用、人工智能和 Android 课程教学五个主题与伙伴高校合作举办师资培育与课程建设研讨班。并继续支持青年教师的课程建设和人才培养工作，设立青年教师奖教金予以奖励。</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移动技术、物联网、大数据、人工智能等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"http://www.google.cn/intl/zh-CN_cn/university/collaboration.html"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http://www.google.cn/intl/zh-CN_cn/university/collaboration.html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资助创新创业课程建设项目和实践教改项目，围绕促进大学生创新精神、创业意识和创新创业能力的人才培养，推动高校进一步提升创新创业教育课程体系内容，扩充创新创业教育课程资源；创新创业教学改革项目促进高校开展创新创业教育教学方式改革，深入挖掘符合创新创业的教学方式，并形成可复制可推广的经验和做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互联网+、移动技术、物联网、大数据、人工智能等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http://www.google.cn/intl/zh-CN_cn/university/collaboration/student.html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9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微软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各高等院校的所有院系，通过支持计算机基础课程体系及课程内容建设，推进优质教学资源共享、提升计算机基础教学的教学质量。在以计算思维为核心的课程建设基础上，围绕前沿及热门技术核心主题，树立系统培养观念，推进大学与中学的计算机教育的有机衔接；同时借助大规模在线开放课程（MOOC）等多种手段，持续推进以计算思维为导向的课程改革成果在中西部高校的传播与推广。</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lang w:eastAsia="zh-CN"/>
                <w14:textFill>
                  <w14:solidFill>
                    <w14:schemeClr w14:val="tx1"/>
                  </w14:solidFill>
                </w14:textFill>
              </w:rPr>
            </w:pPr>
            <w:r>
              <w:rPr>
                <w:rFonts w:hint="eastAsia" w:ascii="仿宋_GB2312" w:hAnsi="仿宋_GB2312" w:eastAsia="仿宋_GB2312" w:cs="仿宋_GB2312"/>
                <w:i w:val="0"/>
                <w:color w:val="000000" w:themeColor="text1"/>
                <w:sz w:val="18"/>
                <w:szCs w:val="18"/>
                <w:u w:val="none"/>
                <w:lang w:eastAsia="zh-CN"/>
                <w14:textFill>
                  <w14:solidFill>
                    <w14:schemeClr w14:val="tx1"/>
                  </w14:solidFill>
                </w14:textFill>
              </w:rPr>
              <w:t>人工智能、云与移动计算、大数据计算、多媒体计算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"http://www.msra.cn/zh-cn/connections/course/computational-thinking-curriculum/application-manual-2017.aspx"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http://www.msra.cn/zh-cn/connections/course/computational-thinking-curriculum/application-manual-2017.aspx</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的青年学者，尤其是具有较大发展潜力、处于职业生涯发展早期的青年科技人才。通过进入微软亚洲研究院开展访问学习，以研究员与青年学者一对一的合作模式，帮助青年学者明确长期的研究方向、在创造力的黄金时期做出突出业绩，努力成长为专业能力突出、综合素质全面、具有国际视野的学科技术带头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"http://www.msra.cn/zh-cn/connections/talents/moe-startrack/application-manual-2017.aspx"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http://www.msra.cn/zh-cn/connections/talents/moe-startrack/application-manual-2017.aspx</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入选教育部“计算机科学基础学科拔尖学生培养试验计划”高等院校相关院系，在原有培养计划基础上，依托微软亚洲研究院基础科学研究优势，为有意向从事基础科学研究的本科生提供微软国际前沿的研发环境、世界顶尖研究员的指导，开设实训课程，创新培养方式，共同培养世界一流的学术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入选教育部“计算机科学基础学科拔尖学生培养试验计划”院校相关院系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"http://www.msra.cn/zh-cn/connections/talents/moe-msinnovation/application-manual-2017.aspx"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http://www.msra.cn/zh-cn/connections/talents/moe-msinnovation/application-manual-2017.aspx</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苹果</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项目重点关注以“信息通信技术及知识产权保护”为核心及以“人人编程”为核心的课程建设。前者支持高校开发和普及与信息通信产业发展、通信网络技术及知识产权保护相关的课程；后者借助Swift Playgrounds工具，开发设计思维驱动的移动应用开发课程。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信息通信技术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"http://www.cmooc.cn/pages/20170323.html"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http://www.cmooc.cn/pages/20170323.html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结合苹果公司的在线认证平台及区域教育培训中心开展师资培训项目，通过在线学习、技术培训、交流研讨、参观体验等形式，了解苹果公司最新的技术及应用，掌握利用新型工具改善教学形式及效果的方法，提高工程实践能力及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信息通信技术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项目为各高校iOS Club之间的课程、讲座、技术、活动、项目信息等构建交流和沟通的平台，采用类似Apple支持和WWDC等App的方式，促进各高校iOS Club的信息共享与交流。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信息通信技术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利用苹果公司供应链工厂的教室，结合Swift编程项目的培训需求，为广大学生提供校外实践的机会。通过知识传授、疑难解答、案例分享的方式，让学生协助参与培训的实施和评估，在拓宽iOS编程知识同时，提高学生项目协调、沟通和管理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4</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信息通信技术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1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以创新创业为目标，制定和优化iOS Club的管理与教学制度，实现交叉融合、集群教育、规模推进，并开发若干移动应用产品案例。鼓励参加相关竞赛、创新和创业实践，提升学生的创新创业能力。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信息通信技术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1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DIGILENT中国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面向全日制本科院校的电子信息类、自动化类、仪器科学类、计算机科学类等工程类专业, 校企共建“翻转课堂”联合课程或配套实验项目，建设“慕课”，“资源开放课”，“视频微课”, 开发理论课程或实验课程配套课件，实验项目，实验指导书，教材或教学演示软硬件系统。课程名称举例：“模拟/数字电子线路”、”FPGA” “计算机组成”,“微机原理与接口技术”、“计算机组成原理”等等。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"http://www.digilent.com.cn/moe"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www.digilent.com.cn/moe</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9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过校企合作重构人才培养方案体系中部分内容，将动手实践与创新创业深度融合，通过校企共同筹备高校基础类课程以及双创类课程的师资培训项目，共建新的面向教师的培训课程，进行创新创业师资培训，举办创新创业教学项目成果展等活动，为高校之间交流搭建桥梁，为工程教育注入活力。培训内容：“数字与逻辑电路与Multisim”、“计算机组成原理”、“FPGA”，“开源软硬件创新创业”、”电路电子学”，“物联网”，“虚拟仪器与虚拟仿真”等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电子信息类、自动化类、仪器科学类、计算机科学类、软件科学类、电气类和机械类等理工类专业，通过支持相关专业开展实践条件建设项目，建设符合互联网时代需求的各类基础教学实验室、专业教学实验室、双创实践基地，促进相关专业与企业合作重构教学内容，优化实践体系，丰富培养方案，拉近产学距离，提升育人质量。举例如： 雨课堂微信云服务电工电子实验室，微信云互连物联网实验室，微信云互连智能传感器实验室，微信云互连智能信息通信实验室。</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过校企合作重构人才培养方案体系中部分内容，将动手实践与创新创业深度融合，通过校企共同举办创新创业竞赛，共建新的创新创业课程，搭建学生创客社团，举办创新创业项目成果展等活动，为高校创新创业教育注入活力。举例：“微信云信息物理系统开源软硬件创新创业课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5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艾默生</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主要针对生命科学、食品饮料、医药、污水处理等行业相关院校的学生。与艾默生的技术专家共同研究相关行业课题，并推进科技成果转化。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生命科学、食品饮料、医药、污水处理等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生命科学、食品饮料、医药、污水处理等院校学生</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"http://www2.emerson.com/zh-cn/Careers/Pages/college-enterprise-program.aspx"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http://www2.emerson.com/zh-cn/Careers/Pages/college-enterprise-program.aspx</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青年教师实践、应用能力培养。艾默生公司和校方每年共同选拨大学1-2名相关教师（实验室教学或相关课程的教学人员）参加艾默生技术培训（技术培训课程费用由公司承担，教师差旅费由校方自理）。或根据学校教师培养计划及企业项目计划，共同协商为青年教师提供到企业实践机会，如参与艾默生相关工程及研发项目。</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2.教师技术交流研讨工作室。艾默生为相关行业及专业的学校老师提供技术交流研讨工作室。技术交流研讨工作室交流的题目、时间、地点由双方协商。题目为工业自动化领域的先进技术、理念及实际应用等。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自动化类、机械类、仪器类、电子信息类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自动化类、机械类、仪器类、电子信息类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共建校企实验室，实验室将用于培养学生的工程应用能力，以及为研究工业项目提供技术平台。艾默生公司根据校方教学目的，联合设计共建实验室。具体支持力度和办法与校方共同协商。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自动化类、机械类、仪器类、电子信息类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自动化类、机械类、仪器类、电子信息类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校企双方根据培养目标共建校内外卓越班、应用型研究生实践基地。艾默生将根据企业情况与学校合作承接学生企业实习。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自动化类、机械类、仪器类、电子信息类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自动化类、机械类、仪器类、电子信息类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针对学生技术能力及综合能力培养的工程营、校内外系列活动及竞赛：主要针对石油化工、电力、冶金、生命科学、食品饮料、污水处理等行业相关院校。根据校方对行业学生的培养特点及培养要求，双方共同设计工程营或竞赛的题目、培养的技术能力及综合能力的培训方案并实施。</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石油化工、电力、冶金、生命科学、食品饮料、污水处理等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石油化工、电力、冶金、生命科学、食品饮料、污水处理等行业相关院校</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6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德州仪器</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（TI）</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面向本科生或者研究生的教学和课程体系改革。改革目标旨在利用创新的教学方式方法，提高电子信息类相关课程的教学效果，促使学生动手实践，在与业界相结合的实践课程中提高专业水平。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"http://www.ti.com/university"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www.ti.com/university</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61"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面向高校电子信息类和计算机类等相关专业的学生个人或团队。按照教育部大学生创新创业训练计划要求，重点支持基于模拟电子、嵌入式技术、无线连接等方向的应用。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4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面向高校电子信息类相关院系由高校与企业合作，组织教师利用TI的技术平台和器件开展相关技术培训、经验分享、项目研究等工作，提升教师的工程实践能力和教学水平。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56"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此项目主要面向高校有关院系，企业提供软、硬件设备或平台，在高校建设联合实验室、实践基地等，并开发有关的实验教学资源，提升实践教学水平。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此项目主要面向高校，企业提供资金、软硬件条件等，支持高校开展各类创新竞赛、建设创新创业教育课程体系、实践训练体系、创客空间等，支持高校创新创业教育改革。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美国国家仪器</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    （NI）</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日制本科院校的电子信息类、机械类、自动化类、仪器类、电气类等专业,在教学内容建设方面，支持老师基于NI图形化系统设计软硬件平台，改革和增设课程教学内容，这些相关课程包括电子电路类课程、信号处理类课程、通信类课程、机电控制类课程和虚拟仪器技术课程。在课程体系改革方面，面向国家战略性新兴产业方向，针对新一代信息技术、高端装备制造业、新能源产业和新能源汽车产业中对人才培养的最新要求引入教学过程，通过课程体系的改革，更好的培养能够满足行业发展需要的人才。希望通过与高校在教学内容和课程体系改革方面的合作，共同规划和开发出一系列可共享的课程、教材资源并推广应用，助力“新工科”的建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14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新一代信息技术、高端装备制造业、新能源产业和新能源汽车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电子信息类、机械类、自动化类、仪器类、电气类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"http://china.ni.com/jointfund"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http://china.ni.com/jointfund</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结合NI公司在全国主要城市与高校合作建立的示范基地，开展师资培训项目。主要面向青年教师，由NI公司组织教师开展技术培训、经验分享、项目研究等工作，提升教师的工程实践能力和教学水平。2017年计划开展培训的城市包括北京、长沙、郑州、南宁、杭州、西安、哈尔滨、重庆、广州。同时，也面向全国全日制本科院校的电子信息类、机械类、自动化类、仪器类、电气类等专业方向的院系开放师资培训班承办权申请，希望与全国更多的高校协作，惠及更多高校教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电子信息类、机械类、自动化类、仪器类、电气类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电子信息类、机械类、自动化类、仪器类、电气类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日制本科院校电子信息类、机械类、自动化类、仪器类、电气类等专业，特别是应用型本科转型试点高校，通过合作建立联合实验室、实践基地等，帮助高校引入国外先进教学理念、课程体系和教学模式，进一步加强实践教学环节，提升实践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电子信息类、机械类、自动化类、仪器类、电气类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电子信息类、机械类、自动化类、仪器类、电气类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与全日制本科院校的电子信息类、机械类、自动化类、仪器类、电气类等专业方向合作建立创新创业人才培养示范基地，拟在教学创新、科研创新和应用创新等方面展开深入合作，与合作高校一起探索构建创新创业教育课程体系、实践训练体系、创客空间、项目孵化转化平台等，支持高校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电子信息类、机械类、自动化类、仪器类、电气类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电子信息类、机械类、自动化类、仪器类、电气类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54"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思科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育部高等学校大学计算机课程教学指导委员会会同思科公司，决定联合推进以提升“网络素养与计算思维”为目标的课程改革立项工作，借助思科公司提供的先进的、持续更新的课程资源、教学软件、评估平台和仿真软件，对现有的大学生计算机公共基础课进行改革，并建议采用MOOC和翻转课堂相结合的教学方式，激发学生的学习兴趣和提升学习效果，更好地迎接“互联网+”时代的到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信息通信技术、网络空间安全、物联网等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计算机公共基础课程</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"http://www.cisco.com/c/m/zh_cn/about/csr/xy.html"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http://www.cisco.com/c/m/zh_cn/about/csr/xy.html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26"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面向高校，由思科公司提供师资、软硬件条件、投资基金等，支持高校开展创新创业项目、创客空间、项目孵化器等，依托思科技术开展以下几个方面的创新项目：软件定义网络(SDN)、信息安全、云计算、智能协作、物联网、大数据等前沿信息技术。项目鼓励高校自发的创新创业，对于有想法并有意愿将想法转化为IT解决方案的在校师生或团体进行辅导和奖励,以帮助师生创新创业，获得更多实践经验，提高综合专业技能和对市场的认知，推动中国社会在数字化进程中加速转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软件定义网络、信息安全、云计算、智能协作、物联网、大数据等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3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IBM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面向高校计算机学院、软件学院等信息类相关专业，通过支持高校开展大数据分析、认知计算、云计算和企业计算等专业方向教学内容和课程体系改革，开发MOOC 课程，改进教学内容，优化课程体系，推进优质教学资源共享，提升高校教学质量，打造持续健康的人才生态系统。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9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大数据分析、认知计算、云计算和企业计算等方向教学内容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"http://www-31.ibm.com/ibm/cn/university/programs/reform_program.shtml"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http://www-31.ibm.com/ibm/cn/university/programs/reform_program.shtml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NIIT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指导思想：积极探索在线课程建设对高校教学模式改革的促进意义，积累在线课程的建设经验，主动尝试将传统课堂教学与在线课程以多种方式相结合，总结在线课程的建设标准与教学应用过程中的成功模式。2.建设内容：以在线课程建设为主体，包括课程的讲义、课件、视频、在线课程的过程性考核方式研究、题库建设、混合式教学模式研究等，围绕课程打造在线课程团队，团队成员包括主讲教师、教育技术人员。3.成果形式：包括课程讲义、课件、视频、试题、教案、课程教学模式及教学大纲等在线课程相关材料，所有成果的知识产权由公司与校方签署协议确定。4.建设周期：立项项目建设周期为一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JAVA、大数据、WEB前端、Android、iOS、云计算、物联网和电子商务等相关课程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"http://niit.com.cn/news_show.aspx?id=161"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http://niit.com.cn/news_show.aspx?id=161</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针对全国高等学校计算机科学与技术、软件工程、网络工程、电子商务、信息与计算科学、电子信息工程、计算机应用与维护、数字媒体等相关专业，分阶段对JAVA、大数据、WEB前端、Android、iOS、云计算、物联网和电子商务等8个方向进行培训，根据“提高教育教学能力、教育创新能力和教育科研能力”的指导思想，按照“定方向、定时间、定目标、定任务”的“四定”思路，推行项目管理制度，以线上资源分享与线下实训操作相结合的模式培养IT专业师资，打造更高层次专业型、应用型、创新型、复合型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8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JAVA、大数据、WEB前端、Android、iOS、云计算、物联网和电子商务等方向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http://niit.com.cn/news_show.aspx?id=162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2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英飞凌</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项目面向高校汽车、电气、电子工程以及自动化等相关专业教师。重点支持1.英飞凌车用32位多核微处理器AURIX在汽车相关课程。2.IGBT模块等产品在电力电子等相关课程的创新与应用， 包括但不限于：课程建设，教学方法改革，实验平台创新，MOOC等。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机械类、电气类、电子信息类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机械类、电气类、电子信息类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"http://www.infineon.com/cms/cn/product/promopages/2017-moe-project/" \l "project03"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 xml:space="preserve">http://www.infineon.com/cms/cn/product/promopages/2017-moe-project/#project03 </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1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Style w:val="14"/>
                <w:rFonts w:hint="eastAsia" w:ascii="仿宋_GB2312" w:hAnsi="仿宋_GB2312" w:eastAsia="仿宋_GB2312" w:cs="仿宋_GB2312"/>
                <w:color w:val="000000" w:themeColor="text1"/>
                <w:sz w:val="18"/>
                <w:szCs w:val="18"/>
                <w:u w:val="none"/>
                <w:lang w:val="en-US" w:eastAsia="zh-CN" w:bidi="ar"/>
                <w14:textFill>
                  <w14:solidFill>
                    <w14:schemeClr w14:val="tx1"/>
                  </w14:solidFill>
                </w14:textFill>
              </w:rPr>
              <w:t>项目面向全国高校本科生和研究生。项目支持学生充分发挥自身创新能力，基于英飞凌的产品，设计、开发和实现创新项目。重点支持领域1.基于英飞凌的气压传感器以及24GHz雷达芯片在新兴领域，例如无人机，机器人，智能家居， VR/AR, 电池化成电源的创新性场景应用以及硬件平台实现。2.采用iMotion</w:t>
            </w:r>
            <w:r>
              <w:rPr>
                <w:rStyle w:val="15"/>
                <w:rFonts w:hint="eastAsia" w:ascii="仿宋_GB2312" w:hAnsi="仿宋_GB2312" w:eastAsia="仿宋_GB2312" w:cs="仿宋_GB2312"/>
                <w:color w:val="000000" w:themeColor="text1"/>
                <w:sz w:val="18"/>
                <w:szCs w:val="18"/>
                <w:u w:val="none"/>
                <w:lang w:val="en-US" w:eastAsia="zh-CN" w:bidi="ar"/>
                <w14:textFill>
                  <w14:solidFill>
                    <w14:schemeClr w14:val="tx1"/>
                  </w14:solidFill>
                </w14:textFill>
              </w:rPr>
              <w:t>™</w:t>
            </w:r>
            <w:r>
              <w:rPr>
                <w:rStyle w:val="14"/>
                <w:rFonts w:hint="eastAsia" w:ascii="仿宋_GB2312" w:hAnsi="仿宋_GB2312" w:eastAsia="仿宋_GB2312" w:cs="仿宋_GB2312"/>
                <w:color w:val="000000" w:themeColor="text1"/>
                <w:sz w:val="18"/>
                <w:szCs w:val="18"/>
                <w:u w:val="none"/>
                <w:lang w:val="en-US" w:eastAsia="zh-CN" w:bidi="ar"/>
                <w14:textFill>
                  <w14:solidFill>
                    <w14:schemeClr w14:val="tx1"/>
                  </w14:solidFill>
                </w14:textFill>
              </w:rPr>
              <w:t xml:space="preserve"> Digital Motor Controller实现各类小功率电机的创新应用。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机械类、电气类、电子信息类</w:t>
            </w:r>
          </w:p>
        </w:tc>
        <w:tc>
          <w:tcPr>
            <w:tcW w:w="1275" w:type="dxa"/>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机械类、电气类、电子信息类</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 \l "project02"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 xml:space="preserve">http://www.infineon.com/cms/cn/product/promopages/2017-moe-project/#project02 </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9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高校汽车类，电气类，电子工程类以及自动化类等方向的教师学者。重点支持大学学者基于英飞凌产品，通过软硬件平台的设计，实现在车联网、工业功率控制、新兴应用领域的1.应用创新。2.应用技术领域的深入研究。 通过项目合作为在校研究生提供与业界密切结合的实践学习平台，促进半导体创新的人才的培养。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机械类、电气类、电子信息类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机械类、电气类、电子信息类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 \l "project01"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http://www.infineon.com/cms/cn/product/promopages/2017-moe-project/#project01</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9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ADI</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日制本科院校的电子信息类、自动化类、仪器科学类、电气类等工程类专业，依据教育部高教司关于“产学合作，协同育人”的有关指示，结合ADI先进的模拟和IC研发技术及经验，基于当前物联网及智能互联应用发展的趋势，与高校共建工程基础类课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9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物联网、智能互联应用等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电子信息类、自动化类、仪器类、电气类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"http://www.analog.com/cn/education/university-engagement/china/smart-home.html"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http://www.analog.com/cn/education/university-engagement/china/smart-home.html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面向中国高校电子相关专业师生，以通信及生物医疗智能应用为主，工业控制、测试测量项目为辅，为敢于创新的师生提供必要支持。北京威视锐科技有限公司会提供项目前期风险评估和技术咨询服务。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通信工程、生物医疗智能、工业控制、测试测量等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培训分为通信类课程及平台使用培训，和微电子及IC研发、测试培训，面向各高校相关专业教师，由ADI公司中国研发中心及北京威视锐科技有限公司提供培训服务。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7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通信类 课程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9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ADI与高校共建联合实验室。以下实验室类型为主：通信类实验室、生物医疗类实验室、电路基础实验室。实验室内容：教学、科研及学生创新活动。ADI及北京威视锐科技有限公司会为实验室建设提供软件、课程和硬件方面支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通信工程、生物医疗等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通信工程、生物医疗等专业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ADI与高校共建坐落于ADI上海研发中心及北京研发中心的人才培养基地。由教师作为高校导师，工程师作为企业导师，共同制定培养内容及目标。培养时间为半年。由ADI提供相应实习职位及基于一线研发案例的实习内容，面向各种专业，包括微电子类、通信类、软件算法类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8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联合Xilinx公司及北京威视锐科技有限公司，为学生提供基于通信应用、物联网应用及生物医疗应用方面的培训。</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通信工程、物联网、生物医疗等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东软睿道</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东软睿道面向全国高等学校计算机科学与技术、软件工程、网络工程、信息与计算科学、物联网、数字艺术、电子商务、自动控制相关专业，将科学的学习方法与先进的信息技术相结合，打造产学研融合式人才培养模式，提供领先的IT人才培养解决方案，满足IT行业规模化、高质量的人才培养需求。面向高校提供包括学院共建、专业共建、基地共建、教师培养、实验室建设、职业认证、教研合作等不同的解决方案，全面助力高校人才培养改革与创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计算机、软件工程、网络工程、物联网、数字艺术、电子商务、自动控制等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"http://www.neuedu.com.cn/page.action?id=1377&amp;mid=9&amp;pid=1 "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color w:val="000000" w:themeColor="text1"/>
                <w:sz w:val="18"/>
                <w:szCs w:val="18"/>
                <w:u w:val="none"/>
                <w14:textFill>
                  <w14:solidFill>
                    <w14:schemeClr w14:val="tx1"/>
                  </w14:solidFill>
                </w14:textFill>
              </w:rPr>
              <w:t xml:space="preserve">http://www.neuedu.com.cn/page.action?id=1377&amp;mid=9&amp;pid=1 </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面向高校提供包括创新创业通识课程体系、创新创业实践训练体系、创新创业师资培训体系、创客空间建设、创新创业教育云服务平台、创新创业教材等不同解决方案，全面助力高校创新创业教育改革。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"http://www.neuedu.com.cn/page.action?id=1378&amp;mid=9&amp;pid=1"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http://www.neuedu.com.cn/page.action?id=1378&amp;mid=9&amp;pid=1</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3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蓝墨科技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按专业课程群或单个课程进行申报和建设，根据项目合作对象的级别（校级、院级、课程团队）将资助的项目分为三类，分别设定了3项、5项、15项共23项，不限定专业方向。充分结合教学一线实践和先进理念，以移动信息化教学为基本教学模式，推动高校各层次的移动信息化课程和教材的改革、师资信息化能力提升和教学管理变革。对于学校和二级学院项目，构建整体的“互联网+”教学升级整体建设方案并从课程、师资、教学管理三个方面进行全面提升；对于单个课程项目，则面向一线课程团队，以课程为单位，建设一套云课程教学内容和方案，能够面向全国院校进行推广，促进教学交流和教学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移动信息化课程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"http://www.mosoink.com/chanxuehezuo"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http://www.mosoink.com/chanxuehezuo</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分4个方向开展一线青年教师师资培训：移动信息化教学的理念、方法与案例；基于移动信息化教学的翻转课堂教学设计与实践；基于移动信息化教学的混合式教学设计与实践；TTTF（从教师到教学引导师）教学能力培训。采用线上线下相结合的培训方式，用生动活泼的教学活动，激发参训人员的学习热情，引导参训人员掌握实用的教学技术和教学方法，推动一线教育教学改革。一个学校允许申请一项，面向本校及周边院校教师开展单次培训。对于优质院校，合作建立长期师资培训基地，深度校企合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移动信息化课程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9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蓝鸥科技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计算机类、软件工程类、网络工程类、信息与计算科学类、数字媒体类、电子商务类等专业，通过支持相关专业开展综合改革，进行人才培养模式研究、课程设置及教学方法改革，支持专业实验室建设，推进在线学习和教学管理平台资源共享 开展师资培训，促进相关专业（专业群）改革，重构教学内容，优化课程体系，提升教学质量，培养适应产业发展需要的应用型技术技能人才。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30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"http://www.lanou3g.com/project/kecheng.html"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http://www.lanou3g.com/project/kecheng.html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校的计算机类、软件工程类、网络工程类、信息与计算科学类、数字媒体类、电子商务等专业方向的青年教师，定期开展技术培训、经验分享、项目研究等工作，提升教师的工程实践能力和教学水平，并为高校教师提供到企业挂职锻炼、参与企业真实项目的机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立“XXX大学-蓝鸥科技产学合作协同育人大学生实习实训基地”，引入蓝鸥科技FCBS综合实训体系，开展大学生项目实训，提供实训实习岗位，提升学生技术和项目的实践和创新能力，推动高校实践教学的创新与发展，形成特色的行之有效的校外大学生实习实训基地方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18"/>
                <w:szCs w:val="18"/>
                <w:u w:val="none"/>
                <w:lang w:val="en-US" w:eastAsia="zh-CN"/>
                <w14:textFill>
                  <w14:solidFill>
                    <w14:schemeClr w14:val="tx1"/>
                  </w14:solidFill>
                </w14:textFill>
              </w:rPr>
              <w:t>30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致力于协助高校开展创新创业教育改革，打造产学研创相融合的新型人才培养模式。协助学校开发创新创业理论教学与实践过程相结合的内容，校内校外资源相结合，高校教师与企业导师共同参与开发和指导实践，高校大学生参加创新创业训练营和活动。蓝鸥科技提供包括创新创业通识课程体系、创新创业实践训练体系、创新创业师资培训体系、创客空间建设、创新创业相关赛事辅导等不同的解决方案，全面助力高校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18"/>
                <w:szCs w:val="18"/>
                <w:u w:val="none"/>
                <w:lang w:val="en-US" w:eastAsia="zh-CN"/>
                <w14:textFill>
                  <w14:solidFill>
                    <w14:schemeClr w14:val="tx1"/>
                  </w14:solidFill>
                </w14:textFill>
              </w:rPr>
              <w:t>50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2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锐捷网络</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围绕目前计算机类专业的热点技术领域，包括云计算、大数据、SDN，锐捷网络联合生态企业支持高校在这些领域的课程建设和教学改革工作，建成一批高质量、可共享的课程体系和培养方案，这些建设成果将开源开放，任何高校都可以参考借鉴用于教学和人才培养目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云计算、大数据、SDN等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"http://university.ruijie.com.cn/partner/Detail.aspx?aid=664&amp;tid=-1"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http://university.ruijie.com.cn/partner/Detail.aspx?aid=664&amp;tid=-1</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CII“种子”名师研修计划。采取集中面授培训、返岗实践、线上研修、 成果展示的方式，进行为期半年左右的研修，重点提升教师对行业主流技术的掌握能力、应用技术研发与推广能力、信息化手段在教学中的运用能力及团队合作能力，培养一批具备专业水平、有能力且有意愿传帮带其他青年教师的“种子”名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云计算、大数据、SDN等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1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福建中锐网络</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课程资源建设：中锐网络为高校免费供企业项目案例素材库，素材库主要涉及云计算大数据、网络空间安全等技术方向；同时为高校提供企业工程师技术支持，协助高校教师在这些领域开展课程建设工作。建成一批高质量的课程教学资源。教学模式改革：为了促进高校人才培养更加高效，中锐网络为高校提供教学模式改革课题研究的经费支持，汇聚一批有特色的教学理念，建设有特色的人才培养方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云计算、大数据、网络空间安全等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"http://www.zrwlkj.com.cn/down.php"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http://www.zrwlkj.com.cn/down.php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项目旨在为“加快中国高校大数据课程体系建设、促进中国高校大数据教学水平不断提升”做出积极贡献。培训课程将系统介绍大数据课程知识体系、授课方法、实验环境、搭建、基础编程、大数据实训实验室建设、等方面的内容，旨在帮助参加培训的教师快速建立对大数据课程的整体性认识，为高效备课和顺利开课打下坚实基础，最终提升教师的工程实践能力和教学水平，促进专业教学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中锐网络为提升高校实践教学水平，面向高校提供实验室建设经费资助项目，同时为高校提供软件平台与高校联合建立实验室。并利用联合实验室开发相关实践教学资源，最终实现提升实践教学水平的目的。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30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计算机类、电子信息类等专业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4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青岛英谷教育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本科类高等学校支持信息技术类、工业自动化类、金融财务类、电子商务类、外语类共5个专业群共26个相关专业等相关专业，提供在线教育平台与线下实训相结合模式共建应用型学科，共同培养国际化、应用型、复合型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70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自动化类、电子信息类、金融学类、工商管理类、电子商务类、外语类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自动化类、电子信息类、金融学类、工商管理类、电子商务类、外语类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"http://www.121ugrow.com/"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http://www.121ugrow.com/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本科类高等学校支持信息技术类、工业自动化类、金融财务类、电子商务类、外语类共5个专业群共26个相关专业的青年教师，提升教师的工程实践能力和教学水平，充分发挥和挖掘专业资源的功能与价值，促进专业教学实质性改革，推动高校双师型教师培养，不断优化教师队伍结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自动化类、电子信息类、金融学类、工商管理类、电子商务类、外语类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自动化类、电子信息类、金融学类、工商管理类、电子商务类、外语类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"http://www.121hyg.com/"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http://www.121hyg.com/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1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本科类高等学校支持信息技术、工业自动化、金融财务、电子商务、外语共5个专业群共26个相关专业，由企业提供软、硬件设备或平台，在高校建设联合实验室、实践基地等，并开发有关的实验教学资源，提升高校实践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自动化类、电子信息类、金融学类、工商管理类、电子商务类、外语类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自动化类、电子信息类、金融学类、工商管理类、电子商务类、外语类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"http://www.121ugrow.com/"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http://www.121ugrow.com/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本科类高等学校支持信息技术、工业自动化、金融财务、电子商务、外语共5个专业群共26个相关专业等相关专业支持高校建设创新、创业教育课程体系、实践训练体系、创客空间、项目孵化平支持高校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自动化类、电子信息类、金融学类、工商管理类、电子商务类、外语类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自动化类、电子信息类、金融学类、工商管理类、电子商务类、外语类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http://www.121hyg.com/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珠海世纪鼎利</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优秀教师团队和企业专家，提供经费、技术、平台等方面的支持，将产业和技术的最新发展、行业对人才的最新要求引入人才培养过程，推动教学模式和课程体系改革，培养高素质应用型技术技能型人才。分以下三个方向：A: 应用型人才培养模式研究：以专业链与产业链相对接、课程内容与职业标准相对接、教学过程与生产过程相对接为要求，调研行业紧缺人才相关专业的岗位需求，探索产教融合、校企协同育人的应用型人才培养模式，研制人才培养方案，重构特色专业课程体系。B: 课程建设：根据应用型人才培养要求，开展计算机科学与技术、软件工程、通信工程、物联网工程等专业课程和实践实训课程建设。C: 应用型人才培养教学方法及案例研究：结合行业紧缺人才相关专业应用型人才培养模式，在关键环节上探索教学方法改革并形成案例。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127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"http://www.dingli.com/cn/index.php/news/detail/121.html"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http://www.dingli.com/cn/index.php/news/detail/121.html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1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面向全国高校教师，以应用型人才培养为目标，，结合教育部-世纪鼎利协同育人项目建设成果，支持教师参加师资培训，提高教学水平和实践教学指导能力，推进“双师型”教师队伍建设。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面向物联网应用技术领域、移动通信技术领域、大数据技术领域、智能制造技术领域，资助合作院校建设创新人才实训基地。通过优势互补、资源整合，依托基地引进技术标准和资源，承接产业中具有行业代表性的真实项目，创新现代学徒制教学，培养高素质技术技能型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50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物联网、移动通讯、大数据、智能制造等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1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玩课网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计算机相关专业，包括并不限于软件工程、计算机科学与技术、网络工程、信息与计算科学、物联网工程、电子信息、通信工程、电子商务等专业的教师开展申报，重点支持一批专业基础课和专业核心课程，以及与在线学习研究相关的课程，包括但不限于在线学习、翻转课堂教学、混合式教学、移动学习、智慧学习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"http://www.wanke001.com/cxhz.aspx"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http://www.wanke001.com/cxhz.aspx</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院校创新实践负责人及骨干教师，大力支持院校开展实践条件建设，帮助高校搭建在线实践平台，与高校合作建设生产型校内实践基地。利用项目实践平台，以线上资源分享与线下实训操作相结合的模式开展在线学习及项目实战。将学生进一步加速锻造成可以直接上岗的状态，为学生提供与本专业对口的、更多和更高层次的就业及创业机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北京西普教育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计算机科学与技术，软件工程，网络工程，信息安全、信息计算与科学等相关专业的优秀教师，推出云计算、大数据、信息安全以及移动互联技术等多个技术方向的在线实验课程资源建设项目；通过建设一批高质量的在线实验教学资源，促进高校在线实验教学创新改革，推广优秀课程，加速学科建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云计算、大数据、信息安全和移动互联技术等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"http://www.simpleware.com.cn/xietongyuren"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http://www.simpleware.com.cn/xietongyuren</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西普教育将联合全国50所高校共同建设校企联合实验室，为每所立项高校提供一定的实验室资源。这些资源基于学校相关专业实验室的实际需要，包括硬件、软件、平台、教学系统、课程体系、课件、师资培训等；联合实验室的建设将服务于计算机类相关专业方向，如信息安全、云计算、大数据、网络工程、智能工控、物联网、软件工程等。联合实验室建设有助于高校引入企业资源与案例，提升高校技术类课程教学效果，促进高校学科建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信息安全、云计算、大数据、网络工程、智能工控、物联网、软件工程等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讯方公司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主要针对全国高等院校计算机、通信、云计算、物联网、移动互联等ICT相关专业。开展LTE移动通信技术、云计算技术、大数据技术、物联网技术、移动互联技术等5个方向进行培训，根据“提高教育教学能力、教育创新能力和教育科研能力”的指导思想，推行项目管理制度，以线上学习、线下集训、顶岗锻炼三位一体的模式培养ICT专业师资，打造更高层次专业型、复合型师资团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移动通信、云计算、大数据、物联网、移动互联等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"http://www.xunfang.com"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www.xunfang.com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围绕目前ICT产业热点技术领域，包括移动通信技术、网络安全技术、云计算技术、大数据技术、物联网技术及移动互联技术。支持高校在这些技术方向建设联合创新实践基地，服务于高校基础教学及实训科研。同时也可以基于联合创新实践基地环境开展教学合作、课程建设、培训认证等，推动高校应用型、创新型、复合型人才培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移动通信、云计算、大数据、物联网、移动互联等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高校开展创新创业教育改革项目。针对申报的高校，融合企业资源为各高校搭建校园智创空间，提供智创空间建设、创客活动服务、空间运营服务等支持。开展以技术创新为核心的创客教育，培养创新型人才，使高校学生以某方面的专业技能入手，结合时下新兴的科技，融汇艺术与设计等元素，将与众不同的想法变成实物，携手高校共同培养创新型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全国高校</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7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Style w:val="14"/>
                <w:rFonts w:hint="eastAsia" w:ascii="仿宋_GB2312" w:hAnsi="仿宋_GB2312" w:eastAsia="仿宋_GB2312" w:cs="仿宋_GB2312"/>
                <w:color w:val="000000" w:themeColor="text1"/>
                <w:sz w:val="18"/>
                <w:szCs w:val="18"/>
                <w:u w:val="none"/>
                <w:lang w:val="en-US" w:eastAsia="zh-CN" w:bidi="ar"/>
                <w14:textFill>
                  <w14:solidFill>
                    <w14:schemeClr w14:val="tx1"/>
                  </w14:solidFill>
                </w14:textFill>
              </w:rPr>
              <w:t>项目主要面向高校ICT相关专业，根据企业自身条件和需求，提供学生们合适的实习实训岗位，在公司具体岗位上参与实践工作，实现学生到企业准员工的角色转变。并且讯方与合作高校共同制定有关管理制度，共同加强学生实习实训过程管理，不断提</w:t>
            </w:r>
            <w:r>
              <w:rPr>
                <w:rStyle w:val="15"/>
                <w:rFonts w:hint="eastAsia" w:ascii="仿宋_GB2312" w:hAnsi="仿宋_GB2312" w:eastAsia="仿宋_GB2312" w:cs="仿宋_GB2312"/>
                <w:color w:val="000000" w:themeColor="text1"/>
                <w:sz w:val="18"/>
                <w:szCs w:val="18"/>
                <w:u w:val="none"/>
                <w:lang w:val="en-US" w:eastAsia="zh-CN" w:bidi="ar"/>
                <w14:textFill>
                  <w14:solidFill>
                    <w14:schemeClr w14:val="tx1"/>
                  </w14:solidFill>
                </w14:textFill>
              </w:rPr>
              <w:t>髙</w:t>
            </w:r>
            <w:r>
              <w:rPr>
                <w:rStyle w:val="14"/>
                <w:rFonts w:hint="eastAsia" w:ascii="仿宋_GB2312" w:hAnsi="仿宋_GB2312" w:eastAsia="仿宋_GB2312" w:cs="仿宋_GB2312"/>
                <w:color w:val="000000" w:themeColor="text1"/>
                <w:sz w:val="18"/>
                <w:szCs w:val="18"/>
                <w:u w:val="none"/>
                <w:lang w:val="en-US" w:eastAsia="zh-CN" w:bidi="ar"/>
                <w14:textFill>
                  <w14:solidFill>
                    <w14:schemeClr w14:val="tx1"/>
                  </w14:solidFill>
                </w14:textFill>
              </w:rPr>
              <w:t>实习实训效果和质量，提供给有志从事ICT行业的优秀大学生加入企业实践的机会，找到实现自身价值的舞台。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移动通信、云计算、大数据、物联网、移动互联等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9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北京智联友道</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物联网、移动互联、计算机技术、信息技术、通信技术、自动化、轨道交通、云计算等相关专业课程教学资源、课程建设主要包含理论课程内容建设、教学资源建设(教材、课程大纲、教学设计、知识点PPT、慕课视频、实践案例资料等)。最终目的是让学习者掌握行业或企业发展所需相关知识和岗位职业技能。提交以下部分资料：核心技术课程教学大纲、学时分配规划及参考文献、课程电子书、习题和实验设计、教学案例相关资料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计算机类、电子信息类、自动化类、交通运输类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计算机类、电子信息类、自动化类、交通运输类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"http://www.yoodao.com.cn"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http://www.yoodao.com.cn</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涉及方向为物联网、移动互联、计算机技术、信息技术、通信技术、自动化、轨道交通、云计算等专业学校结合自身情况建设联合实验室或者实训基地，开发相关实践资料，达到改善实践教学条件，提升实践教学水平的目的。验收提交资料：实验教学大纲、学时分配规划方案资料或实验设计手册及相关代码等相关资料、课程设计或毕业设计相关任务方案设计资料、其他必要的支持上课所需的资源。</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计算机类、电子信息类、自动化类、交通运输类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计算机类、电子信息类、自动化类、交通运输类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物联网、移动互联、计算机技术、信息技术、通信技术、自动化、轨道交通、云计算等相关专业，由企业提供资金、场地及实习实训岗位，校企双方共同完善管理制度，通过企业项目的实习实训，学生能够掌握学习现阶段的行业中必须的技术知识，提升实习实训的效果和质量，同时能够让实习实训学生对自己未来的职业前期规划。需提交实习实训相关总结报告或个人职业规划报告。</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计算机类、电子信息类、自动化类、交通运输类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计算机类、电子信息类、自动化类、交通运输类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计算机、软件、信息、通信、控制等相关学院，包括创新创业课程体系建设、创新创业实践教学体系建设及创客空间项目资源建设。改善相关教育课程体系，并将创新创业学习贯穿整个课程体系、完善相关实践教学体系，结合创新创业教育改革项目完善课程实践体系、创客空间建设项目支持，依托于学校现有资源，提供企业现有真实项目资源案例及建设方案等。需提交建设方案、论文或完整项目计划书等资料。</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计算机类、电子信息类、自动化类、交通运输类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计算机类、电子信息类、自动化类、交通运输类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2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中软国际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本科计算机相关专业群，根据“卓越工程师教育培养计划”的总体思路，提供以人才培养为核心的高校智慧教育云平台整体解决方案，注重内容建设，与实训实践、创新创业相结合模式共建专业，共同培养适应社会经济发展的高层次技术技能人才、复合型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"http://www.chinasofti.com/excellency-training/innovation-entrepreneurship.shtml"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http://www.chinasofti.com/excellency-training/innovation-entrepreneurship.shtml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在中软国际各地30家分公司建立“XXX大学-中软国际校外实践基地”，引入中软国际企业文化、专业技术体系、项目实践案例、企业师资和智慧教育云等资源，开展大学生课程实践和项目实践学习，提升学生技术和项目的实践和创新能力，通过行业认知、专业认知等职业素质培养，提升学生的综合能力和素质，实现学生到企业准员工的角色转变，提高学生专业对口就业率和薪金整体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"http://www.chinasofti.com/superWebCMS/pages/sites/MainSite/html/zh/etc/column.shtml"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http://www.chinasofti.com/superWebCMS/pages/sites/MainSite/html/zh/etc/column.shtml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本科计算机相关专业群的应用型人才开展培养及训练。采取项目驱动，工学结合模式，企业投入人才培养与训练体系、平台与资源，与高校共建共享，在校内建设集教（教学）、训（实训）、测（测试）、评（评价）、职（职业素质拓展）、创（创业孵化）六位一体大学生创新创业训练基地，以产业最新需求和实际生产问题，引导大学生以问题和课题为核心开展创新创业实践。</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"http://www.chinasofti.com/excellency-training/innovation-entrepreneurship.shtml"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http://www.chinasofti.com/excellency-training/innovation-entrepreneurship.shtml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0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九城教育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中的计算机系及其相关院系、数字媒体及其相关艺术专业、电竞管理专业，旨在通过设立课程资助项目，协助高等院校进行课程建设，提升教学质量，促进培养适应产业发展需要的高质量人才。5项（基于Unity、VR、AR、HTML5、Maya等技术）游戏开发、游戏美术、游戏策划设计类教材编写。5项（基于Unity、VR、AR、HTML5、Maya等技术）游戏开发、游戏美术、游戏策划设计类课程开发与建设。5项（基于电子竞技运动）电竞管理实践类教材编写。5项（基于电子竞技运动）电竞管理专业课程开发与建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游戏开发、游戏美术、游戏策划设计等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相关艺术专业、电竞管理专业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"http://edu.the9.com/a/xingyexinxi/xingyedongtai/2015/0210/101.html"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http://edu.the9.com/a/xingyexinxi/xingyedongtai/2015/0210/101.html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2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达内集团</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计算机科学与技术、软件工程、网络工程、物联网、数字艺术等本科及以上相关专业，与申报院校课程融合、内容共建。旨在协助院校打造产学研融合的教学模式，提供先进的人才培养方案，丰富实践教学内容，提升科研水平，促进专业发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"http://www.ycty.org/project/2017"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http://www.ycty.org/project/2017</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达内集团拟将联合区域内优势本科院校，在互联网应用开发、大数据开发、移动互联开发、物联网工程、数字媒体艺术、互联网营销、云计算开发与运维、主办会计、虚拟现实开发、Web前端开发和软件测试等11个专业方向设立青年骨干教师培养基地，用来开展师资培训以及教学展示与研讨项目。</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计算机科学与技术、软件工程、网络工程、物联网、数字艺术等本科及以上相关专业，与立项院校共建校内实践基地和建设联合实验室，并开发有关的实验教学资源，提升实践教学水平。原则上，校内实践基地和联合实验室不得重复申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7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计算机科学与技术、软件工程、网络工程、物联网、数字艺术等本科及以上相关专业，以应用型人才培养为目标，提供专业实训环境和完善的实践教学体系，推行差异化教学模式和项目管理制度，并通过企业真实项目或技术岗位实习实训，提升院校实践教学水平和学生就业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本科及以上优秀的学生创新创业团队。旨在通过提供创新创业基金的方式，鼓励学生提高技术创新意识，锻炼专业技术能力，培养校园创业热情，同时支持学校创新创业教学资源建设和教育改革。主要面向移动互联开发技术、电子商务和艺术设计技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65"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四川华迪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过基于物联网、云计算、大数据、信息安全、互联网信息技术的研究和开发，锻炼学生创新创业能力和实践能力，提升综合素养。拟面向高校计算机类、软件类和电子信息类等相关专业的学生个人或团队。所资助的创新创业训练项目应符合国家级双创示范基地菁蓉小镇产业发展方向，包含互联网应用、大数据应用、虚拟仿真应用、信息安全应用、文化创意设计以及物联网应用等多种项目类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物联网、云计算、大数据、信息安全、互联网信息技术等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"HTTP://www.hwadee.com/news/-/contentview/lRbToQ0l10yV/v/236267.shtml"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HTTP://www.hwadee.com/news/-/contentview/lRbToQ0l10yV/v/236267.shtml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5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泰岳教育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ascii="仿宋_GB2312" w:eastAsia="仿宋_GB2312"/>
                <w:b w:val="0"/>
                <w:bCs/>
                <w:color w:val="000000" w:themeColor="text1"/>
                <w:sz w:val="18"/>
                <w:szCs w:val="18"/>
                <w14:textFill>
                  <w14:solidFill>
                    <w14:schemeClr w14:val="tx1"/>
                  </w14:solidFill>
                </w14:textFill>
              </w:rPr>
            </w:pPr>
            <w:r>
              <w:rPr>
                <w:rFonts w:hint="eastAsia" w:ascii="仿宋_GB2312" w:eastAsia="仿宋_GB2312"/>
                <w:b w:val="0"/>
                <w:bCs/>
                <w:color w:val="000000" w:themeColor="text1"/>
                <w:sz w:val="18"/>
                <w:szCs w:val="18"/>
                <w14:textFill>
                  <w14:solidFill>
                    <w14:schemeClr w14:val="tx1"/>
                  </w14:solidFill>
                </w14:textFill>
              </w:rPr>
              <w:t>1</w:t>
            </w:r>
            <w:r>
              <w:rPr>
                <w:rFonts w:hint="eastAsia" w:ascii="仿宋_GB2312" w:eastAsia="仿宋_GB2312"/>
                <w:b w:val="0"/>
                <w:bCs/>
                <w:color w:val="000000" w:themeColor="text1"/>
                <w:sz w:val="18"/>
                <w:szCs w:val="18"/>
                <w:lang w:eastAsia="zh-CN"/>
                <w14:textFill>
                  <w14:solidFill>
                    <w14:schemeClr w14:val="tx1"/>
                  </w14:solidFill>
                </w14:textFill>
              </w:rPr>
              <w:t>.</w:t>
            </w:r>
            <w:r>
              <w:rPr>
                <w:rFonts w:hint="eastAsia" w:ascii="仿宋_GB2312" w:eastAsia="仿宋_GB2312"/>
                <w:b w:val="0"/>
                <w:bCs/>
                <w:color w:val="000000" w:themeColor="text1"/>
                <w:sz w:val="18"/>
                <w:szCs w:val="18"/>
                <w14:textFill>
                  <w14:solidFill>
                    <w14:schemeClr w14:val="tx1"/>
                  </w14:solidFill>
                </w14:textFill>
              </w:rPr>
              <w:t>“泰岳教育”大学生创新创业教育课程建设项目</w:t>
            </w:r>
          </w:p>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ascii="仿宋_GB2312" w:eastAsia="仿宋_GB2312"/>
                <w:b w:val="0"/>
                <w:bCs/>
                <w:color w:val="000000" w:themeColor="text1"/>
                <w:sz w:val="18"/>
                <w:szCs w:val="18"/>
                <w14:textFill>
                  <w14:solidFill>
                    <w14:schemeClr w14:val="tx1"/>
                  </w14:solidFill>
                </w14:textFill>
              </w:rPr>
            </w:pPr>
            <w:r>
              <w:rPr>
                <w:rFonts w:hint="eastAsia" w:ascii="仿宋_GB2312" w:eastAsia="仿宋_GB2312"/>
                <w:b w:val="0"/>
                <w:bCs/>
                <w:color w:val="000000" w:themeColor="text1"/>
                <w:sz w:val="18"/>
                <w:szCs w:val="18"/>
                <w:lang w:eastAsia="zh-CN"/>
                <w14:textFill>
                  <w14:solidFill>
                    <w14:schemeClr w14:val="tx1"/>
                  </w14:solidFill>
                </w14:textFill>
              </w:rPr>
              <w:t>（</w:t>
            </w:r>
            <w:r>
              <w:rPr>
                <w:rFonts w:hint="eastAsia" w:ascii="仿宋_GB2312" w:eastAsia="仿宋_GB2312"/>
                <w:b w:val="0"/>
                <w:bCs/>
                <w:color w:val="000000" w:themeColor="text1"/>
                <w:sz w:val="18"/>
                <w:szCs w:val="18"/>
                <w:lang w:val="en-US" w:eastAsia="zh-CN"/>
                <w14:textFill>
                  <w14:solidFill>
                    <w14:schemeClr w14:val="tx1"/>
                  </w14:solidFill>
                </w14:textFill>
              </w:rPr>
              <w:t>1</w:t>
            </w:r>
            <w:r>
              <w:rPr>
                <w:rFonts w:hint="eastAsia" w:ascii="仿宋_GB2312" w:eastAsia="仿宋_GB2312"/>
                <w:b w:val="0"/>
                <w:bCs/>
                <w:color w:val="000000" w:themeColor="text1"/>
                <w:sz w:val="18"/>
                <w:szCs w:val="18"/>
                <w:lang w:eastAsia="zh-CN"/>
                <w14:textFill>
                  <w14:solidFill>
                    <w14:schemeClr w14:val="tx1"/>
                  </w14:solidFill>
                </w14:textFill>
              </w:rPr>
              <w:t>）</w:t>
            </w:r>
            <w:r>
              <w:rPr>
                <w:rFonts w:hint="eastAsia" w:ascii="仿宋_GB2312" w:eastAsia="仿宋_GB2312"/>
                <w:b w:val="0"/>
                <w:bCs/>
                <w:color w:val="000000" w:themeColor="text1"/>
                <w:sz w:val="18"/>
                <w:szCs w:val="18"/>
                <w14:textFill>
                  <w14:solidFill>
                    <w14:schemeClr w14:val="tx1"/>
                  </w14:solidFill>
                </w14:textFill>
              </w:rPr>
              <w:t>面向专业及对象：已开设创新创业基础课程、纳入学分管理、有配套师资队伍的高校。</w:t>
            </w:r>
            <w:r>
              <w:rPr>
                <w:rFonts w:hint="eastAsia" w:ascii="仿宋_GB2312" w:eastAsia="仿宋_GB2312"/>
                <w:b w:val="0"/>
                <w:bCs/>
                <w:color w:val="000000" w:themeColor="text1"/>
                <w:sz w:val="18"/>
                <w:szCs w:val="18"/>
                <w:lang w:eastAsia="zh-CN"/>
                <w14:textFill>
                  <w14:solidFill>
                    <w14:schemeClr w14:val="tx1"/>
                  </w14:solidFill>
                </w14:textFill>
              </w:rPr>
              <w:t>（</w:t>
            </w:r>
            <w:r>
              <w:rPr>
                <w:rFonts w:hint="eastAsia" w:ascii="仿宋_GB2312" w:eastAsia="仿宋_GB2312"/>
                <w:b w:val="0"/>
                <w:bCs/>
                <w:color w:val="000000" w:themeColor="text1"/>
                <w:sz w:val="18"/>
                <w:szCs w:val="18"/>
                <w:lang w:val="en-US" w:eastAsia="zh-CN"/>
                <w14:textFill>
                  <w14:solidFill>
                    <w14:schemeClr w14:val="tx1"/>
                  </w14:solidFill>
                </w14:textFill>
              </w:rPr>
              <w:t>2</w:t>
            </w:r>
            <w:r>
              <w:rPr>
                <w:rFonts w:hint="eastAsia" w:ascii="仿宋_GB2312" w:eastAsia="仿宋_GB2312"/>
                <w:b w:val="0"/>
                <w:bCs/>
                <w:color w:val="000000" w:themeColor="text1"/>
                <w:sz w:val="18"/>
                <w:szCs w:val="18"/>
                <w:lang w:eastAsia="zh-CN"/>
                <w14:textFill>
                  <w14:solidFill>
                    <w14:schemeClr w14:val="tx1"/>
                  </w14:solidFill>
                </w14:textFill>
              </w:rPr>
              <w:t>）</w:t>
            </w:r>
            <w:r>
              <w:rPr>
                <w:rFonts w:hint="eastAsia" w:ascii="仿宋_GB2312" w:eastAsia="仿宋_GB2312"/>
                <w:b w:val="0"/>
                <w:bCs/>
                <w:color w:val="000000" w:themeColor="text1"/>
                <w:sz w:val="18"/>
                <w:szCs w:val="18"/>
                <w14:textFill>
                  <w14:solidFill>
                    <w14:schemeClr w14:val="tx1"/>
                  </w14:solidFill>
                </w14:textFill>
              </w:rPr>
              <w:t>建设目标和内容：高校解决基础条件，泰岳教育协助高校建设创新创业教育课程体系。</w:t>
            </w:r>
          </w:p>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ascii="仿宋_GB2312" w:eastAsia="仿宋_GB2312"/>
                <w:b w:val="0"/>
                <w:bCs/>
                <w:color w:val="000000" w:themeColor="text1"/>
                <w:sz w:val="18"/>
                <w:szCs w:val="18"/>
                <w14:textFill>
                  <w14:solidFill>
                    <w14:schemeClr w14:val="tx1"/>
                  </w14:solidFill>
                </w14:textFill>
              </w:rPr>
            </w:pPr>
            <w:r>
              <w:rPr>
                <w:rFonts w:hint="eastAsia" w:ascii="仿宋_GB2312" w:eastAsia="仿宋_GB2312"/>
                <w:b w:val="0"/>
                <w:bCs/>
                <w:color w:val="000000" w:themeColor="text1"/>
                <w:sz w:val="18"/>
                <w:szCs w:val="18"/>
                <w14:textFill>
                  <w14:solidFill>
                    <w14:schemeClr w14:val="tx1"/>
                  </w14:solidFill>
                </w14:textFill>
              </w:rPr>
              <w:t>2</w:t>
            </w:r>
            <w:r>
              <w:rPr>
                <w:rFonts w:hint="eastAsia" w:ascii="仿宋_GB2312" w:eastAsia="仿宋_GB2312"/>
                <w:b w:val="0"/>
                <w:bCs/>
                <w:color w:val="000000" w:themeColor="text1"/>
                <w:sz w:val="18"/>
                <w:szCs w:val="18"/>
                <w:lang w:val="en-US" w:eastAsia="zh-CN"/>
                <w14:textFill>
                  <w14:solidFill>
                    <w14:schemeClr w14:val="tx1"/>
                  </w14:solidFill>
                </w14:textFill>
              </w:rPr>
              <w:t>.</w:t>
            </w:r>
            <w:r>
              <w:rPr>
                <w:rFonts w:hint="eastAsia" w:ascii="仿宋_GB2312" w:eastAsia="仿宋_GB2312"/>
                <w:b w:val="0"/>
                <w:bCs/>
                <w:color w:val="000000" w:themeColor="text1"/>
                <w:sz w:val="18"/>
                <w:szCs w:val="18"/>
                <w14:textFill>
                  <w14:solidFill>
                    <w14:schemeClr w14:val="tx1"/>
                  </w14:solidFill>
                </w14:textFill>
              </w:rPr>
              <w:t>“泰岳教育”新媒体运营课程建设项目</w:t>
            </w:r>
          </w:p>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b w:val="0"/>
                <w:bCs/>
                <w:color w:val="000000" w:themeColor="text1"/>
                <w:sz w:val="18"/>
                <w:szCs w:val="18"/>
                <w:lang w:eastAsia="zh-CN"/>
                <w14:textFill>
                  <w14:solidFill>
                    <w14:schemeClr w14:val="tx1"/>
                  </w14:solidFill>
                </w14:textFill>
              </w:rPr>
              <w:t>（</w:t>
            </w:r>
            <w:r>
              <w:rPr>
                <w:rFonts w:hint="eastAsia" w:ascii="仿宋_GB2312" w:eastAsia="仿宋_GB2312"/>
                <w:b w:val="0"/>
                <w:bCs/>
                <w:color w:val="000000" w:themeColor="text1"/>
                <w:sz w:val="18"/>
                <w:szCs w:val="18"/>
                <w:lang w:val="en-US" w:eastAsia="zh-CN"/>
                <w14:textFill>
                  <w14:solidFill>
                    <w14:schemeClr w14:val="tx1"/>
                  </w14:solidFill>
                </w14:textFill>
              </w:rPr>
              <w:t>1</w:t>
            </w:r>
            <w:r>
              <w:rPr>
                <w:rFonts w:hint="eastAsia" w:ascii="仿宋_GB2312" w:eastAsia="仿宋_GB2312"/>
                <w:b w:val="0"/>
                <w:bCs/>
                <w:color w:val="000000" w:themeColor="text1"/>
                <w:sz w:val="18"/>
                <w:szCs w:val="18"/>
                <w:lang w:eastAsia="zh-CN"/>
                <w14:textFill>
                  <w14:solidFill>
                    <w14:schemeClr w14:val="tx1"/>
                  </w14:solidFill>
                </w14:textFill>
              </w:rPr>
              <w:t>）</w:t>
            </w:r>
            <w:r>
              <w:rPr>
                <w:rFonts w:hint="eastAsia" w:ascii="仿宋_GB2312" w:eastAsia="仿宋_GB2312"/>
                <w:b w:val="0"/>
                <w:bCs/>
                <w:color w:val="000000" w:themeColor="text1"/>
                <w:sz w:val="18"/>
                <w:szCs w:val="18"/>
                <w14:textFill>
                  <w14:solidFill>
                    <w14:schemeClr w14:val="tx1"/>
                  </w14:solidFill>
                </w14:textFill>
              </w:rPr>
              <w:t>面向专业及对象：已开设市场营销、电子商务、新闻传播等专业，有学分和师资队伍的高校。</w:t>
            </w:r>
            <w:r>
              <w:rPr>
                <w:rFonts w:hint="eastAsia" w:ascii="仿宋_GB2312" w:eastAsia="仿宋_GB2312"/>
                <w:b w:val="0"/>
                <w:bCs/>
                <w:color w:val="000000" w:themeColor="text1"/>
                <w:sz w:val="18"/>
                <w:szCs w:val="18"/>
                <w:lang w:eastAsia="zh-CN"/>
                <w14:textFill>
                  <w14:solidFill>
                    <w14:schemeClr w14:val="tx1"/>
                  </w14:solidFill>
                </w14:textFill>
              </w:rPr>
              <w:t>（</w:t>
            </w:r>
            <w:r>
              <w:rPr>
                <w:rFonts w:hint="eastAsia" w:ascii="仿宋_GB2312" w:eastAsia="仿宋_GB2312"/>
                <w:b w:val="0"/>
                <w:bCs/>
                <w:color w:val="000000" w:themeColor="text1"/>
                <w:sz w:val="18"/>
                <w:szCs w:val="18"/>
                <w:lang w:val="en-US" w:eastAsia="zh-CN"/>
                <w14:textFill>
                  <w14:solidFill>
                    <w14:schemeClr w14:val="tx1"/>
                  </w14:solidFill>
                </w14:textFill>
              </w:rPr>
              <w:t>2</w:t>
            </w:r>
            <w:r>
              <w:rPr>
                <w:rFonts w:hint="eastAsia" w:ascii="仿宋_GB2312" w:eastAsia="仿宋_GB2312"/>
                <w:b w:val="0"/>
                <w:bCs/>
                <w:color w:val="000000" w:themeColor="text1"/>
                <w:sz w:val="18"/>
                <w:szCs w:val="18"/>
                <w:lang w:eastAsia="zh-CN"/>
                <w14:textFill>
                  <w14:solidFill>
                    <w14:schemeClr w14:val="tx1"/>
                  </w14:solidFill>
                </w14:textFill>
              </w:rPr>
              <w:t>）</w:t>
            </w:r>
            <w:r>
              <w:rPr>
                <w:rFonts w:hint="eastAsia" w:ascii="仿宋_GB2312" w:eastAsia="仿宋_GB2312"/>
                <w:b w:val="0"/>
                <w:bCs/>
                <w:color w:val="000000" w:themeColor="text1"/>
                <w:sz w:val="18"/>
                <w:szCs w:val="18"/>
                <w14:textFill>
                  <w14:solidFill>
                    <w14:schemeClr w14:val="tx1"/>
                  </w14:solidFill>
                </w14:textFill>
              </w:rPr>
              <w:t>建设目标和内容：泰岳教育协助高校建设新媒体运营人才培养课程体系和配套教材内容。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sz w:val="18"/>
                <w:szCs w:val="18"/>
              </w:rPr>
              <w:t>创新创业教育、新媒体</w:t>
            </w:r>
          </w:p>
        </w:tc>
        <w:tc>
          <w:tcPr>
            <w:tcW w:w="12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sz w:val="18"/>
                <w:szCs w:val="18"/>
              </w:rPr>
              <w:t>创新创业、市场营销、电子商务、新闻传播、广告设计与制作等</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"http://www.ultraedu.com.cn/project/project.html"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http://www.ultraedu.com.cn/project/project.html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ascii="仿宋_GB2312" w:eastAsia="仿宋_GB2312"/>
                <w:b w:val="0"/>
                <w:bCs/>
                <w:color w:val="000000" w:themeColor="text1"/>
                <w:sz w:val="18"/>
                <w:szCs w:val="18"/>
                <w14:textFill>
                  <w14:solidFill>
                    <w14:schemeClr w14:val="tx1"/>
                  </w14:solidFill>
                </w14:textFill>
              </w:rPr>
            </w:pPr>
            <w:r>
              <w:rPr>
                <w:rFonts w:hint="eastAsia" w:ascii="仿宋_GB2312" w:eastAsia="仿宋_GB2312"/>
                <w:b w:val="0"/>
                <w:bCs/>
                <w:color w:val="000000" w:themeColor="text1"/>
                <w:sz w:val="18"/>
                <w:szCs w:val="18"/>
                <w14:textFill>
                  <w14:solidFill>
                    <w14:schemeClr w14:val="tx1"/>
                  </w14:solidFill>
                </w14:textFill>
              </w:rPr>
              <w:t>1</w:t>
            </w:r>
            <w:r>
              <w:rPr>
                <w:rFonts w:hint="eastAsia" w:ascii="仿宋_GB2312" w:eastAsia="仿宋_GB2312"/>
                <w:b w:val="0"/>
                <w:bCs/>
                <w:color w:val="000000" w:themeColor="text1"/>
                <w:sz w:val="18"/>
                <w:szCs w:val="18"/>
                <w:lang w:val="en-US" w:eastAsia="zh-CN"/>
                <w14:textFill>
                  <w14:solidFill>
                    <w14:schemeClr w14:val="tx1"/>
                  </w14:solidFill>
                </w14:textFill>
              </w:rPr>
              <w:t>.</w:t>
            </w:r>
            <w:r>
              <w:rPr>
                <w:rFonts w:hint="eastAsia" w:ascii="仿宋_GB2312" w:eastAsia="仿宋_GB2312"/>
                <w:b w:val="0"/>
                <w:bCs/>
                <w:color w:val="000000" w:themeColor="text1"/>
                <w:sz w:val="18"/>
                <w:szCs w:val="18"/>
                <w14:textFill>
                  <w14:solidFill>
                    <w14:schemeClr w14:val="tx1"/>
                  </w14:solidFill>
                </w14:textFill>
              </w:rPr>
              <w:t>“泰岳教育”网络安全创客中心建设项目</w:t>
            </w:r>
          </w:p>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ascii="仿宋_GB2312" w:eastAsia="仿宋_GB2312"/>
                <w:b w:val="0"/>
                <w:bCs/>
                <w:color w:val="000000" w:themeColor="text1"/>
                <w:sz w:val="18"/>
                <w:szCs w:val="18"/>
                <w14:textFill>
                  <w14:solidFill>
                    <w14:schemeClr w14:val="tx1"/>
                  </w14:solidFill>
                </w14:textFill>
              </w:rPr>
            </w:pPr>
            <w:r>
              <w:rPr>
                <w:rFonts w:hint="eastAsia" w:ascii="仿宋_GB2312" w:eastAsia="仿宋_GB2312"/>
                <w:b w:val="0"/>
                <w:bCs/>
                <w:color w:val="000000" w:themeColor="text1"/>
                <w:sz w:val="18"/>
                <w:szCs w:val="18"/>
                <w:lang w:eastAsia="zh-CN"/>
                <w14:textFill>
                  <w14:solidFill>
                    <w14:schemeClr w14:val="tx1"/>
                  </w14:solidFill>
                </w14:textFill>
              </w:rPr>
              <w:t>（</w:t>
            </w:r>
            <w:r>
              <w:rPr>
                <w:rFonts w:hint="eastAsia" w:ascii="仿宋_GB2312" w:eastAsia="仿宋_GB2312"/>
                <w:b w:val="0"/>
                <w:bCs/>
                <w:color w:val="000000" w:themeColor="text1"/>
                <w:sz w:val="18"/>
                <w:szCs w:val="18"/>
                <w:lang w:val="en-US" w:eastAsia="zh-CN"/>
                <w14:textFill>
                  <w14:solidFill>
                    <w14:schemeClr w14:val="tx1"/>
                  </w14:solidFill>
                </w14:textFill>
              </w:rPr>
              <w:t>1</w:t>
            </w:r>
            <w:r>
              <w:rPr>
                <w:rFonts w:hint="eastAsia" w:ascii="仿宋_GB2312" w:eastAsia="仿宋_GB2312"/>
                <w:b w:val="0"/>
                <w:bCs/>
                <w:color w:val="000000" w:themeColor="text1"/>
                <w:sz w:val="18"/>
                <w:szCs w:val="18"/>
                <w:lang w:eastAsia="zh-CN"/>
                <w14:textFill>
                  <w14:solidFill>
                    <w14:schemeClr w14:val="tx1"/>
                  </w14:solidFill>
                </w14:textFill>
              </w:rPr>
              <w:t>）</w:t>
            </w:r>
            <w:r>
              <w:rPr>
                <w:rFonts w:hint="eastAsia" w:ascii="仿宋_GB2312" w:eastAsia="仿宋_GB2312"/>
                <w:b w:val="0"/>
                <w:bCs/>
                <w:color w:val="000000" w:themeColor="text1"/>
                <w:sz w:val="18"/>
                <w:szCs w:val="18"/>
                <w14:textFill>
                  <w14:solidFill>
                    <w14:schemeClr w14:val="tx1"/>
                  </w14:solidFill>
                </w14:textFill>
              </w:rPr>
              <w:t>面向专业及对象：已开设计算机、信息工程、网络安全等专业的高校。</w:t>
            </w:r>
            <w:r>
              <w:rPr>
                <w:rFonts w:hint="eastAsia" w:ascii="仿宋_GB2312" w:eastAsia="仿宋_GB2312"/>
                <w:b w:val="0"/>
                <w:bCs/>
                <w:color w:val="000000" w:themeColor="text1"/>
                <w:sz w:val="18"/>
                <w:szCs w:val="18"/>
                <w:lang w:eastAsia="zh-CN"/>
                <w14:textFill>
                  <w14:solidFill>
                    <w14:schemeClr w14:val="tx1"/>
                  </w14:solidFill>
                </w14:textFill>
              </w:rPr>
              <w:t>（</w:t>
            </w:r>
            <w:r>
              <w:rPr>
                <w:rFonts w:hint="eastAsia" w:ascii="仿宋_GB2312" w:eastAsia="仿宋_GB2312"/>
                <w:b w:val="0"/>
                <w:bCs/>
                <w:color w:val="000000" w:themeColor="text1"/>
                <w:sz w:val="18"/>
                <w:szCs w:val="18"/>
                <w:lang w:val="en-US" w:eastAsia="zh-CN"/>
                <w14:textFill>
                  <w14:solidFill>
                    <w14:schemeClr w14:val="tx1"/>
                  </w14:solidFill>
                </w14:textFill>
              </w:rPr>
              <w:t>2</w:t>
            </w:r>
            <w:r>
              <w:rPr>
                <w:rFonts w:hint="eastAsia" w:ascii="仿宋_GB2312" w:eastAsia="仿宋_GB2312"/>
                <w:b w:val="0"/>
                <w:bCs/>
                <w:color w:val="000000" w:themeColor="text1"/>
                <w:sz w:val="18"/>
                <w:szCs w:val="18"/>
                <w:lang w:eastAsia="zh-CN"/>
                <w14:textFill>
                  <w14:solidFill>
                    <w14:schemeClr w14:val="tx1"/>
                  </w14:solidFill>
                </w14:textFill>
              </w:rPr>
              <w:t>）</w:t>
            </w:r>
            <w:r>
              <w:rPr>
                <w:rFonts w:hint="eastAsia" w:ascii="仿宋_GB2312" w:eastAsia="仿宋_GB2312"/>
                <w:b w:val="0"/>
                <w:bCs/>
                <w:color w:val="000000" w:themeColor="text1"/>
                <w:sz w:val="18"/>
                <w:szCs w:val="18"/>
                <w14:textFill>
                  <w14:solidFill>
                    <w14:schemeClr w14:val="tx1"/>
                  </w14:solidFill>
                </w14:textFill>
              </w:rPr>
              <w:t>建设目标和内容：以网络安全创客中心为载体，打造高校网络安全创新人才培养模式。</w:t>
            </w:r>
          </w:p>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ascii="仿宋_GB2312" w:eastAsia="仿宋_GB2312"/>
                <w:b w:val="0"/>
                <w:bCs/>
                <w:color w:val="000000" w:themeColor="text1"/>
                <w:sz w:val="18"/>
                <w:szCs w:val="18"/>
                <w14:textFill>
                  <w14:solidFill>
                    <w14:schemeClr w14:val="tx1"/>
                  </w14:solidFill>
                </w14:textFill>
              </w:rPr>
            </w:pPr>
            <w:r>
              <w:rPr>
                <w:rFonts w:hint="eastAsia" w:ascii="仿宋_GB2312" w:eastAsia="仿宋_GB2312"/>
                <w:b w:val="0"/>
                <w:bCs/>
                <w:color w:val="000000" w:themeColor="text1"/>
                <w:sz w:val="18"/>
                <w:szCs w:val="18"/>
                <w14:textFill>
                  <w14:solidFill>
                    <w14:schemeClr w14:val="tx1"/>
                  </w14:solidFill>
                </w14:textFill>
              </w:rPr>
              <w:t>2</w:t>
            </w:r>
            <w:r>
              <w:rPr>
                <w:rFonts w:hint="eastAsia" w:ascii="仿宋_GB2312" w:eastAsia="仿宋_GB2312"/>
                <w:b w:val="0"/>
                <w:bCs/>
                <w:color w:val="000000" w:themeColor="text1"/>
                <w:sz w:val="18"/>
                <w:szCs w:val="18"/>
                <w:lang w:val="en-US" w:eastAsia="zh-CN"/>
                <w14:textFill>
                  <w14:solidFill>
                    <w14:schemeClr w14:val="tx1"/>
                  </w14:solidFill>
                </w14:textFill>
              </w:rPr>
              <w:t>.</w:t>
            </w:r>
            <w:r>
              <w:rPr>
                <w:rFonts w:hint="eastAsia" w:ascii="仿宋_GB2312" w:eastAsia="仿宋_GB2312"/>
                <w:b w:val="0"/>
                <w:bCs/>
                <w:color w:val="000000" w:themeColor="text1"/>
                <w:sz w:val="18"/>
                <w:szCs w:val="18"/>
                <w14:textFill>
                  <w14:solidFill>
                    <w14:schemeClr w14:val="tx1"/>
                  </w14:solidFill>
                </w14:textFill>
              </w:rPr>
              <w:t>“泰岳教育”人工智能大数据创新训练及产学研平台建设项目</w:t>
            </w:r>
          </w:p>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b w:val="0"/>
                <w:bCs/>
                <w:color w:val="000000" w:themeColor="text1"/>
                <w:sz w:val="18"/>
                <w:szCs w:val="18"/>
                <w:lang w:eastAsia="zh-CN"/>
                <w14:textFill>
                  <w14:solidFill>
                    <w14:schemeClr w14:val="tx1"/>
                  </w14:solidFill>
                </w14:textFill>
              </w:rPr>
              <w:t>（</w:t>
            </w:r>
            <w:r>
              <w:rPr>
                <w:rFonts w:hint="eastAsia" w:ascii="仿宋_GB2312" w:eastAsia="仿宋_GB2312"/>
                <w:b w:val="0"/>
                <w:bCs/>
                <w:color w:val="000000" w:themeColor="text1"/>
                <w:sz w:val="18"/>
                <w:szCs w:val="18"/>
                <w:lang w:val="en-US" w:eastAsia="zh-CN"/>
                <w14:textFill>
                  <w14:solidFill>
                    <w14:schemeClr w14:val="tx1"/>
                  </w14:solidFill>
                </w14:textFill>
              </w:rPr>
              <w:t>1</w:t>
            </w:r>
            <w:r>
              <w:rPr>
                <w:rFonts w:hint="eastAsia" w:ascii="仿宋_GB2312" w:eastAsia="仿宋_GB2312"/>
                <w:b w:val="0"/>
                <w:bCs/>
                <w:color w:val="000000" w:themeColor="text1"/>
                <w:sz w:val="18"/>
                <w:szCs w:val="18"/>
                <w:lang w:eastAsia="zh-CN"/>
                <w14:textFill>
                  <w14:solidFill>
                    <w14:schemeClr w14:val="tx1"/>
                  </w14:solidFill>
                </w14:textFill>
              </w:rPr>
              <w:t>）</w:t>
            </w:r>
            <w:r>
              <w:rPr>
                <w:rFonts w:hint="eastAsia" w:ascii="仿宋_GB2312" w:eastAsia="仿宋_GB2312"/>
                <w:b w:val="0"/>
                <w:bCs/>
                <w:color w:val="000000" w:themeColor="text1"/>
                <w:sz w:val="18"/>
                <w:szCs w:val="18"/>
                <w14:textFill>
                  <w14:solidFill>
                    <w14:schemeClr w14:val="tx1"/>
                  </w14:solidFill>
                </w14:textFill>
              </w:rPr>
              <w:t>面向专业及对象：已开设大数据、计算机、信息工程等专业的高校。</w:t>
            </w:r>
            <w:r>
              <w:rPr>
                <w:rFonts w:hint="eastAsia" w:ascii="仿宋_GB2312" w:eastAsia="仿宋_GB2312"/>
                <w:b w:val="0"/>
                <w:bCs/>
                <w:color w:val="000000" w:themeColor="text1"/>
                <w:sz w:val="18"/>
                <w:szCs w:val="18"/>
                <w:lang w:eastAsia="zh-CN"/>
                <w14:textFill>
                  <w14:solidFill>
                    <w14:schemeClr w14:val="tx1"/>
                  </w14:solidFill>
                </w14:textFill>
              </w:rPr>
              <w:t>（</w:t>
            </w:r>
            <w:r>
              <w:rPr>
                <w:rFonts w:hint="eastAsia" w:ascii="仿宋_GB2312" w:eastAsia="仿宋_GB2312"/>
                <w:b w:val="0"/>
                <w:bCs/>
                <w:color w:val="000000" w:themeColor="text1"/>
                <w:sz w:val="18"/>
                <w:szCs w:val="18"/>
                <w:lang w:val="en-US" w:eastAsia="zh-CN"/>
                <w14:textFill>
                  <w14:solidFill>
                    <w14:schemeClr w14:val="tx1"/>
                  </w14:solidFill>
                </w14:textFill>
              </w:rPr>
              <w:t>2</w:t>
            </w:r>
            <w:r>
              <w:rPr>
                <w:rFonts w:hint="eastAsia" w:ascii="仿宋_GB2312" w:eastAsia="仿宋_GB2312"/>
                <w:b w:val="0"/>
                <w:bCs/>
                <w:color w:val="000000" w:themeColor="text1"/>
                <w:sz w:val="18"/>
                <w:szCs w:val="18"/>
                <w:lang w:eastAsia="zh-CN"/>
                <w14:textFill>
                  <w14:solidFill>
                    <w14:schemeClr w14:val="tx1"/>
                  </w14:solidFill>
                </w14:textFill>
              </w:rPr>
              <w:t>）</w:t>
            </w:r>
            <w:r>
              <w:rPr>
                <w:rFonts w:hint="eastAsia" w:ascii="仿宋_GB2312" w:eastAsia="仿宋_GB2312"/>
                <w:b w:val="0"/>
                <w:bCs/>
                <w:color w:val="000000" w:themeColor="text1"/>
                <w:sz w:val="18"/>
                <w:szCs w:val="18"/>
                <w14:textFill>
                  <w14:solidFill>
                    <w14:schemeClr w14:val="tx1"/>
                  </w14:solidFill>
                </w14:textFill>
              </w:rPr>
              <w:t>建设目标和内容：通过大数据人工智能方向</w:t>
            </w:r>
            <w:bookmarkStart w:id="0" w:name="_GoBack"/>
            <w:bookmarkEnd w:id="0"/>
            <w:r>
              <w:rPr>
                <w:rFonts w:hint="eastAsia" w:ascii="仿宋_GB2312" w:eastAsia="仿宋_GB2312"/>
                <w:b w:val="0"/>
                <w:bCs/>
                <w:color w:val="000000" w:themeColor="text1"/>
                <w:sz w:val="18"/>
                <w:szCs w:val="18"/>
                <w14:textFill>
                  <w14:solidFill>
                    <w14:schemeClr w14:val="tx1"/>
                  </w14:solidFill>
                </w14:textFill>
              </w:rPr>
              <w:t>创新训练，打造人工智能大数据课程体系、实践训练体系和产学研平台。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sz w:val="18"/>
                <w:szCs w:val="18"/>
              </w:rPr>
              <w:t>网络安全、人工智能、大数据</w:t>
            </w:r>
          </w:p>
        </w:tc>
        <w:tc>
          <w:tcPr>
            <w:tcW w:w="12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sz w:val="18"/>
                <w:szCs w:val="18"/>
              </w:rPr>
              <w:t>计算机、信息工程、网络安全、大数据等</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ascii="仿宋_GB2312" w:eastAsia="仿宋_GB2312"/>
                <w:b w:val="0"/>
                <w:bCs/>
                <w:color w:val="000000" w:themeColor="text1"/>
                <w:sz w:val="18"/>
                <w:szCs w:val="18"/>
                <w14:textFill>
                  <w14:solidFill>
                    <w14:schemeClr w14:val="tx1"/>
                  </w14:solidFill>
                </w14:textFill>
              </w:rPr>
            </w:pPr>
            <w:r>
              <w:rPr>
                <w:rFonts w:hint="eastAsia" w:ascii="仿宋_GB2312" w:eastAsia="仿宋_GB2312"/>
                <w:b w:val="0"/>
                <w:bCs/>
                <w:color w:val="000000" w:themeColor="text1"/>
                <w:sz w:val="18"/>
                <w:szCs w:val="18"/>
                <w14:textFill>
                  <w14:solidFill>
                    <w14:schemeClr w14:val="tx1"/>
                  </w14:solidFill>
                </w14:textFill>
              </w:rPr>
              <w:t>“泰岳教育”高校创业实训基地建设项目</w:t>
            </w:r>
          </w:p>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b w:val="0"/>
                <w:bCs/>
                <w:color w:val="000000" w:themeColor="text1"/>
                <w:sz w:val="18"/>
                <w:szCs w:val="18"/>
                <w:lang w:eastAsia="zh-CN"/>
                <w14:textFill>
                  <w14:solidFill>
                    <w14:schemeClr w14:val="tx1"/>
                  </w14:solidFill>
                </w14:textFill>
              </w:rPr>
              <w:t>（</w:t>
            </w:r>
            <w:r>
              <w:rPr>
                <w:rFonts w:hint="eastAsia" w:ascii="仿宋_GB2312" w:eastAsia="仿宋_GB2312"/>
                <w:b w:val="0"/>
                <w:bCs/>
                <w:color w:val="000000" w:themeColor="text1"/>
                <w:sz w:val="18"/>
                <w:szCs w:val="18"/>
                <w:lang w:val="en-US" w:eastAsia="zh-CN"/>
                <w14:textFill>
                  <w14:solidFill>
                    <w14:schemeClr w14:val="tx1"/>
                  </w14:solidFill>
                </w14:textFill>
              </w:rPr>
              <w:t>1</w:t>
            </w:r>
            <w:r>
              <w:rPr>
                <w:rFonts w:hint="eastAsia" w:ascii="仿宋_GB2312" w:eastAsia="仿宋_GB2312"/>
                <w:b w:val="0"/>
                <w:bCs/>
                <w:color w:val="000000" w:themeColor="text1"/>
                <w:sz w:val="18"/>
                <w:szCs w:val="18"/>
                <w:lang w:eastAsia="zh-CN"/>
                <w14:textFill>
                  <w14:solidFill>
                    <w14:schemeClr w14:val="tx1"/>
                  </w14:solidFill>
                </w14:textFill>
              </w:rPr>
              <w:t>）</w:t>
            </w:r>
            <w:r>
              <w:rPr>
                <w:rFonts w:hint="eastAsia" w:ascii="仿宋_GB2312" w:eastAsia="仿宋_GB2312"/>
                <w:b w:val="0"/>
                <w:bCs/>
                <w:color w:val="000000" w:themeColor="text1"/>
                <w:sz w:val="18"/>
                <w:szCs w:val="18"/>
                <w14:textFill>
                  <w14:solidFill>
                    <w14:schemeClr w14:val="tx1"/>
                  </w14:solidFill>
                </w14:textFill>
              </w:rPr>
              <w:t>面向专业及对象：已开设创新创业基础课程、纳入学分管理、有配套师资队伍的高校。</w:t>
            </w:r>
            <w:r>
              <w:rPr>
                <w:rFonts w:hint="eastAsia" w:ascii="仿宋_GB2312" w:eastAsia="仿宋_GB2312"/>
                <w:b w:val="0"/>
                <w:bCs/>
                <w:color w:val="000000" w:themeColor="text1"/>
                <w:sz w:val="18"/>
                <w:szCs w:val="18"/>
                <w:lang w:eastAsia="zh-CN"/>
                <w14:textFill>
                  <w14:solidFill>
                    <w14:schemeClr w14:val="tx1"/>
                  </w14:solidFill>
                </w14:textFill>
              </w:rPr>
              <w:t>（</w:t>
            </w:r>
            <w:r>
              <w:rPr>
                <w:rFonts w:hint="eastAsia" w:ascii="仿宋_GB2312" w:eastAsia="仿宋_GB2312"/>
                <w:b w:val="0"/>
                <w:bCs/>
                <w:color w:val="000000" w:themeColor="text1"/>
                <w:sz w:val="18"/>
                <w:szCs w:val="18"/>
                <w:lang w:val="en-US" w:eastAsia="zh-CN"/>
                <w14:textFill>
                  <w14:solidFill>
                    <w14:schemeClr w14:val="tx1"/>
                  </w14:solidFill>
                </w14:textFill>
              </w:rPr>
              <w:t>2</w:t>
            </w:r>
            <w:r>
              <w:rPr>
                <w:rFonts w:hint="eastAsia" w:ascii="仿宋_GB2312" w:eastAsia="仿宋_GB2312"/>
                <w:b w:val="0"/>
                <w:bCs/>
                <w:color w:val="000000" w:themeColor="text1"/>
                <w:sz w:val="18"/>
                <w:szCs w:val="18"/>
                <w:lang w:eastAsia="zh-CN"/>
                <w14:textFill>
                  <w14:solidFill>
                    <w14:schemeClr w14:val="tx1"/>
                  </w14:solidFill>
                </w14:textFill>
              </w:rPr>
              <w:t>）</w:t>
            </w:r>
            <w:r>
              <w:rPr>
                <w:rFonts w:hint="eastAsia" w:ascii="仿宋_GB2312" w:eastAsia="仿宋_GB2312"/>
                <w:b w:val="0"/>
                <w:bCs/>
                <w:color w:val="000000" w:themeColor="text1"/>
                <w:sz w:val="18"/>
                <w:szCs w:val="18"/>
                <w14:textFill>
                  <w14:solidFill>
                    <w14:schemeClr w14:val="tx1"/>
                  </w14:solidFill>
                </w14:textFill>
              </w:rPr>
              <w:t>建设目标和内容：高校提供场地和基础条件，泰岳教育提供创业实训项目与运营资金支持，共同建设大学生创业实训基地。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sz w:val="18"/>
                <w:szCs w:val="18"/>
              </w:rPr>
              <w:t>创新创业实训项目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sz w:val="18"/>
                <w:szCs w:val="18"/>
              </w:rPr>
              <w:t>已开设创新创业基础课程、纳入学分管理、有配套师资队伍的高校</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郑州新思齐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计算机、通信、电子信息类相关专业开展申报，通过支持相关专业课程建设，改进课程教学内容，优化课程体系，推进优质教学资源共享，提升专业教学质量，培养行业需求的人才。项目重点支持大数据分析、云计算、通信网络规划与设计、系统运维、网络工程师等专业方向的课程建设，形成与行业对接的培养方案以及课程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"http://www.xinsiqi.com/"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http://www.xinsiqi.com/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9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面向高校计算机、通信、电子信息类的学生创新创业团队开展申报，企业提供项目资金支持和研究方向，并安排专业导师进行指导；学生自主组建团队进行申报；高校按照大学生创新创业训练计划的要求对项目进行日常管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1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针对高校计算机、通信、电子信息类相关专业开展申报，进行大数据分析、云计算、通信网络规划与设计、系统运维、网络工程师等专业方向等5个方向的师资培训，根据“提高教育教学能力、教育创新能力和教育科研能力”的指导思想，推行项目管理制度，打造更高层次专业型、应用型、创新型、复合型师资团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项目旨在与高校合作建设联合实训室、实践基地，提升学校专业实践环境，共同开发有关的教学资源，提升学校实践教学水平。项目围绕大数据分析、云计算、通信网络规划与设计、系统运维、网络工程师等5个技术方向。支持高校在以上技术方向建设联合实训室，服务于高校基础教学及实训科研。同时也可以基于实训室环境开展创新创业、培训认证、课程建设等，推动高校技能型人才培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3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该项目主要面向高校计算机类、电子信息类和通信类等相关专业，由企业根据自身条件和需要，在企业建设校外实践基地，提供学生实习实训岗位，学习企业的先进技术和先进企业文化，深入开展工程实践活动，参与企业技术创新和工程开发，培养学生的职业精神和职业道德。高校和企业共同制定有关管理制度，共同加强学生实习实训过程管理，不断提高实习实训效果和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8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点奈特科技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主要面向计算机相关理工科专业、艺术设计相关专业的高校进行申报。点奈特科技与高校开展深层次的校企合作，共同制定人才培养方案，将校园式的理论技术教育与就业创新型实训教育有效结合。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计算机相关理工科专业、艺术设计相关专业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计算机相关理工科专业、艺术设计相关专业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"http://diannaite.net/"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http://diannaite.net/</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年教师及专业带头人开展移动互联网应用开发、设计方向的师资培训，定期开展技术培训、经验分享、项目研究等工作，提升教师的工程实践能力和教学水平，为高校教师提供到企业挂职锻炼、参与企业真实项目的机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计算机相关理工科专业、艺术设计相关专业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计算机相关理工科专业、艺术设计相关专业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大学生实习项目主要是点奈特科技联合申报院校建立校外实践基地，为申报院校提供相关的实习实训岗位。基地是学生巩固理论知识、增强工作观念、练就实践能力、实现角色转换、培养综和能力。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计算机相关理工科专业、艺术设计相关专业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计算机相关理工科专业、艺术设计相关专业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围绕大学生创新精神、创业意识和创新创业能力的人才培养，推动高校进一步提升创新创业教育课程体系内容，扩充创新创业教育课程资源。以点奈特科技下的创业社区为依托，将教育与创新创业相结合，支持高校建设创新创业教育课程体系、实践训练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计算机相关理工科专业、艺术设计相关专业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计算机相关理工科专业、艺术设计相关专业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55"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北京文华在线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面向高等院校数字化教学、教学信息化改革、移动教学、大数据学习分析等相关的教学内容和数字化课程改革，通过与高校合作建设“数字化课程中心”（课研工坊™）的建设，协助院校改善在线开放课程建设的硬件和软件条件，打造教师“创课”空间，推进学校教学资源共建共享，促进教师职业发展。在教师工作考核与学生成绩认定、课程管理制度等配套政策支持下，探索混合式教学模式改革，促进信息技术与教育教学的深度融合在本校落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数字化课程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计算机类、电子信息类等专业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"http://www.ulearning.cn"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www.ulearning.cn</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1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北京尚学堂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课改项目目前围绕全国高等学校计算机类，网络安全类、软件工程类、数字媒体类等相关专业的技术领域，尚学堂科技有限公司支持高校在这些领域的课程建设和教学改革工作，建成一批高质量、可共享的课程体系和培养方案，这些建设成果将开源开放，所有高校都可以借鉴用于教学和人才培养。</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建设内容：</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 基于JAVA的企业级应用课程开发</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 基于HTML5的移动互联网应用课程开发</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3 基于虚拟现实（VR）与增强现实（AR）应用课程开发</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4 基于大数据的分布式架构应用课程开发</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5 PB级数据分析挖掘与算法分析应用课程开发</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6人工智能与机器深度学习应用课程开发</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7 翻转课堂(慕课平台)在线教育平台教学改革方向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"http://www.bjsxt.com"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www.bjsxt.com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1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项目围绕目前互联网产业的热点技术，包括UI、前端、云计算、大数据、java等，北京尚学堂科技有限公司提供项目研究课题和资金支持，学生在教师指导下自主组建团队申报项目，并由尚学堂导师进行项目过程指导，由高校指导教师按照大学生创新创业训练计划的要求对项目进行日常管理。创业方向：</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 科技创新</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 商业整合与科技成果转化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慧科集团</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面向大数据、云计算、物联网、互联网营销、互联网金融、虚拟现实、增强现实、人工智能、交互设计等专业的高校。其中包括三类项目：通过校企合作，围绕当前产业热点共建课程体系，开展教育模式改革；利用混合式教学、实境编程技术等提升教学质量，并通过学习过程行为分析改进教学效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大数据、云计算、物联网、互联网营销、互联网金融、虚拟现实、增强现实、人工智能、交互设计等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"http://huikedu.com/new/state/2017-03-24/311.html"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http://huikedu.com/new/state/2017-03-24/311.html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面向高等院校电子信息类、计算机类、电子商务类等专业的学生个人或团队。围绕目前“互联网+”产业的热点技术，联合生态企业提供项目研究课题和资金支持，学生在教师指导下自主组建团队申报项目，并由慧科集团安排企业导师进行项目过程指导，由高校指导教师按照大学生创新创业训练计划的要求对项目进行日常管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w:t>
            </w:r>
          </w:p>
        </w:tc>
        <w:tc>
          <w:tcPr>
            <w:tcW w:w="1275" w:type="dxa"/>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计算机类、电子信息类、电子商务类等</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面向人工智能、虚拟现实、增强现实、大数据、云计算、智能硬件、互联网产品设计、互联网营销、金融科技等专业方向且具备举办师资培训经验的单位。通过组织师资培训，培养一批能开展新兴科技领域教学工作的教师，助力高校新兴科技领域的人才培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人工智能、虚拟现实、增强现实、大数据、云计算、智能硬件、互联网产品设计、互联网营销、金融科技等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7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围绕云计算、大数据、人工智能、虚拟现实/增强现实、网络空间安全（网络信息安全）等新兴学科方向，面向可提供实训室整体建设的学校，通过校企合作，共建符合行业标准的实践平台，提升学生动手实践能力及综合素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7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云计算、大数据、人工智能、虚拟现实/增强现实、网络空间安全（网络信息安全）等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开展创新创业教育合作计划，鼓励高校分享创新创业教育最佳实践案例、共建创新创业教育在线课程、创新创业教育实践教材、创新创业教育混合式教学实践、创新创业大赛案例分析与研究、搭建精益创业教育实训基地、举办创新创业教育研讨会等，开展以技术创新为核心的创客教育。</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创新创业项目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8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51CTO</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项目面向高校计算机类和软件工程类等相关专业教师，重点支持开发语言类（Python）、系统运维（Linux）、以及大数据运算及应用开发（Hadoop系统运用）。建设一批示范课程，以共享辐射更多院校。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"http://edu.51cto.com/job/educate?cx2017"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http://edu.51cto.com/job/educate?cx2017</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9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将面向全日制在校学生个人或者团队,旨在响应国家关于“互联网+”行动计划，结合51CTO在互联网平台独特优势，全面提升大学生创新、实践、运营、协作、创业五大能力，携手高校共同培养“互联网+”核心人才。同时通过项目实施，探索“互联网+”时代的创新产品形态，打造典型标杆案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w:t>
            </w:r>
          </w:p>
        </w:tc>
        <w:tc>
          <w:tcPr>
            <w:tcW w:w="1275" w:type="dxa"/>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相关专业学生</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面向高校计算机、软件和电子信息类等相关专业，通过支持高校开展大数据、云计算、软件开发、网络技术等专业方向师资培训，分享和交流最新技术前沿和行业应用，提升高校师资水平和教学质量。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大数据、云计算、软件开发、网络技术等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95"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安世亚太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项目面向本科及以上教学的工学专业教师，重点支持学校建设以数值仿真、有限元分析、计算流体力学、燃烧学、电磁仿真等课程，培养学生有限元建模、仿真计算等数值仿真能力。</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课程至少包含以下内容：1、面向专业教学的教学算例库；2、以ANSYS产品为辅助手段；3、理论教学与工程实践结合。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数值仿真、有限元分析、计算流体力学、燃烧学、电磁仿真等课程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工学学科</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"http://www.ansys.com；www.peraglobal.com"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www.ansys.com；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www.peraglobal.com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7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北京博创智联</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项目面向全国高等院校嵌入式、物联网、移动互联网、大数据、云计算、工业机器人等课程和相关专业，建立双向合作机制，创立符合产业需求与促进高校专业学科发展的人才培养模式，设立资助课程项目，构建全新课程体系。重点建设和推广嵌入式系统与应用、物联网技术与应用、无线传感器网络、RFID及条码应用技术、Android移动互联网开发、云计算、大数据、工业机器人等专业和课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嵌入式技术、物联网、移动互联网、大数据、云计算、工业机器人等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http://www.up-tech.com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6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项目主要针对全国高等学校嵌入式技术、物联网工程、大数据、工业机器人等相关专业方向，对高校教师在新开专业、新的技术方向、应用项目进行培训，让更多的教师参与企业的工程实践环节，打造更高层次专业型、应用型、创新型、复合型师资人才。每个方向的培训周期根据学校的需要可分长、中、短期进行。中长期培训教师到公司顶岗学习，不限名额。短期在合作院校举办培训班，拟举办5期培训班。</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嵌入式技术、物联网、移动互联网、大数据、云计算、工业机器人等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7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项目围绕目前相关热点技术领域，包括物联网技术、嵌入式技术、移动互联网技术、教育机器人技术、工业机器人技术、大数据技术、云计算技术。支持高校在这些技术方向建设联合实训实验室，服务于高校基础教学及实验科研。同时也可以基于实验室环境开展创新创业、培训认证、课程建设等，推动高校新专业新技术方向的实践教学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嵌入式技术、物联网、移动互联网、大数据、云计算、工业机器人等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学生实习实训基地项目面向全国高等学校计算机、电子通信、物联网、嵌入式、工业机器人相关专业，以不断提高实习实训效果和质量，培养社会需求的应用型专业人才为目标；由企业根据自身条件和岗位需求提供集中校外实习实训和顶岗实习两种模式，融合行业背景和企业生产组织流程，为学生提供符合行业需求的、专业对口的实训环境和实习岗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嵌入式技术、物联网、移动互联网、大数据、云计算、工业机器人等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项目面向全国高等院校高校嵌入式、物联网、移动互联网、大数据、云计算、工业机器人等方向和领域，建立双向合作机制，创立符合产业需求与促进高校专业学科发展的创新创业人才培养模式，设立资助课程项目，构建全新课程体系和创客空间、大学生项目孵化平台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嵌入式技术、物联网、移动互联网、大数据、云计算、工业机器人等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触控未来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拟面向高校计算机、软件、电子信息、动画、美术等相关专业的学生个人或团队。所资助的创新创业训练项目包含但不限于游戏方向和VR方向的硬件设计、游戏开发、软件应用、内容制作等。按时有质量完成立项创新创业训练项目，在一年期项目结束之后，提交所要求的开发成果，参加项目成果展示。优秀项目可进入触控未来孵化体系，由公司支持孵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游戏方向和VR方向的硬件设计、游戏开发、软件应用、内容制作等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计算机、软件、电子信息、动画、美术等专业</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"http://www.chukong-inc.com/article/index/460"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http://www.chukong-inc.com/article/index/460</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9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聚焦在高新技术领域，分为数字娱乐、虚拟现实、数字艺术和人工智能四大核心方向，主要面向计算机、软件、电子信息、自动化、动画学院及其他各院系，提供企业课程内容、企业师资、实训课程、开发工具、运营平台、传播平台及项目孵化等资源完善高校创新创业教育。项目以引导大学生建立创新思维，保障创业心理健康为前提，加强专业属性创新创业实训，建立结果导向课程体系，支持高校创新创业物理空间及平台建设，打通校内创客空间向校外产业园区孵化器的通道。</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数字娱乐、虚拟现实、数字艺术和人工智能等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计算机、软件、电子信息、自动化、动画等院系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4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杭州贝腾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高校经管类专业、创新创业教学负责人、教师，由贝腾提供经费、技术、平台等方面的支持和指导，建成能够满足行业发展需要、可共享的教材资源并推广应用。在教学内容和课程体系改革方向资助5个项目。具体项目包括：</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（1）高校经管学科教材开发、设计、编写、出版及推广应用 ；</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（2）高校创新创业教育教材开发、设计、编写、出版及推广应用。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经管类专业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经管类专业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"http://www.bster.cn/moe2017/sbzn01.htm"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http://www.bster.cn/moe2017/sbzn01.htm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高校创新创业教育教师，教师与公司共同开发设计创新创业相关课程内容、教学设计，将先进的教学方式、教学工具、手段引入培训内容，提高教师的教学水平。计划在全国5个高校开展师资培训设计项目。具体项目内容包括：</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创新创业教育系列课程设计及相关培训，包括教学内容、教学方法、教学手段等方面的研究、设计及培训。</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http://www.bster.cn/moe2017/sbzn02.htm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9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高校，由贝腾提供软硬件、技术、平台等方面的支持和指导，将先进的教学理念、教学方法、软硬件技术引入，支持高校建设创新创业课程体系、实践训练体系。目的是为了深化高校创新创业教育改革。建成后，可以更好地帮助高校提高创新创业教学水平、实践训练水平。计划在全国高校建设10个创新创业教育改革项目。具体的项目为：创新创业教育课程体系改革，实践训练体系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http://www.bster.cn/moe2017/sbzn04.htm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9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杭州华恩</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现面向全日制本科院校的计算机类、软件、电子信息类等专业，重点支持基于“”教育云平台的互联网、移动互联网项目开发课程建设。通过华恩教育提供的ITBegin平台构件项目驱动式教学所需课程内容，并以章节、知识点、实验、作业、测验等形式展现。协助高校进行课程建设、提升教学质量，促进高校人才培养工作更切近产业需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"http://resource.itbegin.com/waendoc/h/corpedu.html"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http://resource.itbegin.com/waendoc/h/corpedu.html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现面向全日制本科院校的计算机类、软件、电子信息类等专业，重点支持适应互联网、移动互联网创新创业的技术课程建设。通过华恩教育提供的ITBegin平台以及企业专家共同建设课程内容资源完善高校创新创业教育体系。协助高校促进专业教育与创新创业教育有机融合，调整专业课程设置，挖掘和充实各类专业课程的创新创业教育资源，在传授专业知识过程中加强创新创业教育。</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弘成科技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校的计算机、软件工程、网络工程、信息与计算科学、数字媒体、电子商务等专业方向，拟在联合制定专业培养方案、建设特色专业课程体系和课程研发等方面展开合作，建设产学结合、适应行业需求的人才培养方案、课程体系和校企长效合作机制。从产业人才需求出发，优化课程设置、科学构建课程体系，将弘成科技职业教育综合实训体系融入高校人才培养全过程，引入企业教材(课件)、在线教育平台、在线教学管理平台和就业服务平台，以大学生技术技能培养和职业发展为目标，打造适应产业需求、服务地方经济的特色专业群。</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计算机类、电子信息类、电子商务类等专业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"http://www.chinaedu.net"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http://www.chinaedu.net</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6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计蒜客</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蒜客是采用独有互动式专利技术进行计算机科学教育的在线学院，利用AI+教育技术，提升在校生的知识体系与工程实践能力，满足行业人才需求。此次项目面向计算机及其相关专业的负责人或骨干教师，建设用于专业体系教学的在线智能实践平台，共同制定专业方向的课程大纲、教案、实验、习题等教学内容，更新迭代专业知识体系，全面提升教学效率与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"https://www.jisuanke.com/university/guide"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https://www.jisuanke.com/university/guide</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8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开元电子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与学校共同制定产学合作协同育人方案，增设或完善跨境电子商务课程，更新培养与教学大纲，加强跨境电子商务实习实训，突出跨境电子商务实际操作能力。合作编写一套12本跨境电子商务教材。通过系列课程建设，推动高校完善课程体系、更新教学内容，建成能够满足行业发展需要、可共享的课程、教材资源并推广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"http://edu.cbecn.org"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http://edu.cbecn.org</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面向青年教师，按照理论学习-到岗实践-教学设计-教学实践-交流研究的顺序，分5个阶段针对项目学校开展系统性的跨境电子商务师资培训，以期达到夯实教师跨境电子商务理论水平，积累跨境电子商务实务经验，提升老师跨境电子商务教学能力的目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过跨境电子商务实验室建设，搭建跨境电子商务实践条件，为高校师生提供跨境电子商务模拟和实战平台，形成良好的校企合作机制；建设跨境电子商务协同创新中心、跨境电子商务创新创业基地，开放跨境电子商务实验室，建设区域跨境电子商务公共实践基地、跨境电子商务人才培养基地。建设跨境电子商务人才智库。</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昆山巨林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机械制造、自动化等专业开展申报，通过支持相关专业课程建设，改进课程教学内容，优化课程体系，推进优质教学资源共享，提升专业教学质量，培养行业需求的人才。项目重点支持柔性制造、机电一体化、自动化、机器人控制等专业方向的课程建设，形成与行业对接的培养方案以及课程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柔性制造、机电一体化、自动化、机器人控制等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机械类、自动化类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"http://www.julin.cc"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www.julin.cc</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机械制造、自动化等专业开展申报，进行柔性制造、机电一体化、自动化、机器人控制等专业方向的师资培训，根据“提高教育教学能力、教育创新能力和教育科研能力”的指导思想，推行项目管理制度，打造更高层次专业型、应用型、创新型、复合型师资团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柔性制造、机电一体化、自动化、机器人控制等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机械类、自动化类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旨在与高校合作建设联合实训室、实践基地，提升学校专业实践环境，共同开发有关的教学资源，提升学校实践教学水平。项目围绕柔性制造、机电一体化、自动化、机器人控制等技术方向。支持高校在以上技术方向建设联合实训室，服务于高校基础教学及实训科研。同时也可以基于实训室环境开展创新创业、培训认证、课程建设等，推动高校技能型人才培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柔性制造、机电一体化、自动化、机器人控制等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机械类、自动化类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该项目主要面向高校机械制造、自动化等相关专业，由企业根据自身条件和需要，在企业建设校外实践基地，提供学生实习实训岗位，学习企业的先进技术和先进企业文化，深入开展工程实践活动，参与企业技术创新和工程开发，培养学生的职业精神和职业道德。高校和企业共同制定有关管理制度，共同加强学生实习实训过程管理，不断提高实习实训效果和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机械类、自动化类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机械类、自动化类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蓝盾股份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校的计算机相关专业的优秀老师，推出Web安全技术、逆向工程技术、大数据技术平台、信息安全管理、云计算技术等多个技术方向的课程体系建设项目；通过规划制定课程内容、课件制作和教材编写，促进高校教学改革创新，加速学科建设，提升学生实践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Web安全、逆向工程、大数据、信息安全管理、云计算等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"http://landunxueyuan.com/xtyr.htm"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http://landunxueyuan.com/xtyr.htm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提供50套信息安全实训实验室设备，供本科高校建设校企联合信息系统安全评测实验室，辅导学生完成渗透测试、安全攻防、漏洞挖掘等实验。每套实验室设备供价值30余万元，包括硬件、软件的实验环境，课程课件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信息安全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71"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的计算机、信息工程、信息计算科学类相关专业的3年级或4年级学生，提供产品研发、测试、信息安全服务、安全运维、客户技术支持等方面的实习岗位。实习实训以学校教学计划和培养方案为基础、企业岗位需求为导向制定实训课程方案，采用“培训+顶岗”的模式，通过短期培训帮助学生掌握某一类专业课程的基础入门技能，了解企业真实项目的管理过程，提升工作实践能力和就业竞争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联创中控</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将为全国各高等院校的教师团队，面向云计算、大数据、物联网、移动互联网、软件工程、信息安全、工业4.0、人工智能、区块链等学科方向，提供经费、技术、平台和培训等方面的支持，和院校师资团队合作进行课程开发和教学模式改革及探索。面向上述学科方向，本项目将重点支持三种类型的项目：</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1、以产业人才需求为起点，以能力素质为导向，以学生为中心的教育体系和人才培养模式的改革探索及课题研究。</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2、采用虚拟实验技术、翻转课程技术、大数据技术，结合学生认知规律，开发基于在线平台、虚拟实验平台进行授课的课程资源。</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3、在新的人才培养模式下、新课程体系下，通过大数据技术进行学生学习行为记录、分析和挖掘，并为课程开发及教学改革提供可行性理论支撑的项目课题。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云计算、大数据、物联网、移动互联网、软件工程、信息安全、工业4.0、人工智能、区块链等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"http://www.uicctech.com/index.php?a=schoolcon&amp;id=523&amp;oneid=897"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http://www.uicctech.com/index.php?a=schoolcon&amp;id=523&amp;oneid=897</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将为合作院校的学生团队，在云计算、大数据、物联网、移动互联网、人工智能等方向的创新创业提供支持，安排技术骨干为学生提供技术和产品开发培训，为基于技术前瞻性、创新性、产业价值的项目提供资金支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云计算、大数据、物联网、移动互联网、人工智能等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http://www.uicctech.com/index.php?a=schoolcon&amp;id=523&amp;oneid=901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3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主要面向全国高等院校的云计算、大数据、物联网、移动互联网四个专业方向的一线教师，提供20个顶岗学习岗位，在联创中控参与项目设计、产品开发和系统实施。老师可选择与其授课或科研方向有关的技术领域，通过顶岗工作和技术培训，提升工程实战经验和技术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云计算、大数据、物联网、移动互联网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http://www.uicctech.com/index.php?a=schoolcon&amp;id=523&amp;oneid=898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3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将面向云计算、大数据、移动互联网、物联网、工业4.0等新兴产业方向，联合合作院校共同建设实训实习基地、创新实践教育基地、创新创业基地。联创中控和合作院校通过投资，提供包括硬件设备、信息化平台、课程资源、师资培训、师资团队等软硬件资源。院校通过实训教育基地，建立起合作学科方向的实训课程体系、师资团队、基础设施等，从而快速提升学科的实践教学水平、降低学科教学难度、提高学生教育质量和就业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80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云计算、大数据、移动互联网、物联网、工业4.0等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http://www.uicctech.com/index.php?a=schoolcon&amp;id=523&amp;oneid=899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将面向全国高等院校，支持云计算、大数据、物联网、移动互联网、人工智能、工业4.0等国家战略性新兴产业相关学科，开展产业前沿技术课程、产业通识教育课程、创新创业实践课程、创新创业师资培训课程等双创相关课程开发，支持创新创业空间建设、创新创业教育云平台建设，助力院校开展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云计算、大数据、移动互联网、物联网、工业4.0等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http://www.uicctech.com/index.php?a=schoolcon&amp;id=523&amp;oneid=900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3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北京凌阳爱普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支持方向：已开设的物联网、嵌入式、微电子、云计算、电子通信、自动化、计算机和机器人专业中的某一课程的全日制本科高校。</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项目内容：基于凌阳爱普提供的相关硬件平台，开发完整的教学大纲、教材、PPT、讲义、课后习题、实验设计、教学案例、微课视频、慕课课程等资源，并实现教学资源开放共享。</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物联网、嵌入式、微电子、云计算、电子通信、自动化、计算机和机器人等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"http://www.unsp.com"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t>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ww.unsp.com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支持方向：项目面向物联网、嵌入式、微电子、云计算、电子通信、自动化、计算机和机器人专业的个人或团队。</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项目内容：通过相关项目研究和开发，锻炼学生创新创业能力和实践能力，提升综合素养。针对学校相关的个人以及团队结合公司技术优势和资源进行项目过程指导，对有价值的项目进行孵化。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物联网、嵌入式、微电子、云计算、电子通信、自动化、计算机和机器人等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支持方向：面向青年教师、教学一线老师。</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内容：围绕物联网、嵌入式、电子通信、电气自动化、计算机、机器人技术等，由企业组织教师开展技术培训、经验分享、项目研究等工作，提升教师的工程实践能力和教学水平。要求培训的教师具备一定的项目开发能力与相关技术的基础知识, 依托我公司原厂项目式培训进行相关的技术指导、经验分享、项目开发。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物联网、嵌入式、微电子、云计算、电子通信、自动化、计算机和机器人等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支持方向：面向物联网、嵌入式、微电子、云计算、电子通信、自动化、计算机和机器人专业等理工类的全日制本科高校。</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项目内容：学校提供电脑、实验桌、场地等基础条件，凌阳爱普根据学校专业规模共建联合实验室，可用于实践教学、课程设计、毕业设计、创新训练、竞赛培训等使用，达到改善教学、实训、创新培养效果。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物联网、嵌入式、微电子、云计算、电子通信、自动化、计算机和机器人等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1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支持方向：面向物联网、嵌入式、微电子、云计算、电子通信、自动化、计算机和机器人专业类等理工类全日制本科高校。</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项目内容：由凌阳爱普提供学校相关院系专业的学生实习实训岗位，高校和企业共同制定有关管理制度，共同加强学生实习实训过程管理，不断提高实习实训效果和质量。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物联网、嵌入式、微电子、云计算、电子通信、自动化、计算机和机器人等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支持方向：面向物联网、嵌入式、微电子、云计算、电子通信、自动化、计算机和机器人专业等理工类的全日制本科高校。</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内容：由凌阳爱普提供师资、软硬件条件、投资基金等，支持高校建设创新创业教育课程体系、实践训练体系、创客空间、项目孵化转化平台等，支持高校创新创业教育改革。改善相关教育课程体系，并将创新创业学习贯穿整个课程体系、完善相关实践教学体系，结合创新创业教育改革项目完善课程实践体系、创客空间建设项目支持：主要依托于学校现有创客空间资源，提供企业现有真实项目资源案例及建设方案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物联网、嵌入式、微电子、云计算、电子通信、自动化、计算机和机器人等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72"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普开数据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本科院校，推出面向多个专业方向的大数据技术与应用课程的课程规范；围绕课程规范，设立10个课程项目，建设一批大数据技术与应用示范课程。与院校共同合作，根据所在院校的生源和师资等实际情况，对普开数据所提供的教学资源进行本地化，以改进院校课程教学内容，优化课程体系，推进优质教学资源共享，提升专业教学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7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智能识别、大数据挖掘、VR研究、软件开发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"http://www.zkpk.org/16997.html"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http://www.zkpk.org/16997.html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9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计算机学院、软件学院及其它院系开展申报。重点支持：大数据技术与应用专业方向。支持项目师资培训。通过改进课程教学内容、优化课程体系、改进教学模式、推进优质教学资源共享，来进一步提升专业教学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大数据技术与应用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支持相关高校开展产学合作项目，加快推动高校相关专业大数据技术教学改革。支持的项目形式包括共同建立卓越班、应用型实习基地，共同进行青年教师实践、应用能力培养，支持学校企业导师，共建联合实验室等，最终实现对高校卓越计划、大学生能力培养和高校教学体系改革的支持，同时选拔及储备普开数据大数据相关行业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3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千锋教育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校计算机学院、软件、电子信息、通信类学院及其他系开展产学合作专业综合改革项目申报（教材、教学PPT、教学案例、视频、教学大纲）。千锋公司通过支持计算机专业课程建设，将企业的核心技术与高校课程建设紧密结合，改进院校课程教学内容，优化课程体系，推进优质教学资源共享，提升专业教学质量，理论与实践相结合，为教师教学和学生学习提供优质的课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 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"http://www.codingke.com"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www.codingke.com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校计算机类、软件类、电子类、设计类、电子商务类、数字媒体类等专业。千锋公司通过支持计算机专业方向共建Linux云计算、Oracle大数据、嵌入式（物联网）、移动开发（IOS/Android）、VR/AR等实验室；为共建学院、共建专业、师资培训、科研合作等提供实践场所，同时通过教学资源输送、企业工程师进校实训、在线教育平台远程学习等方式，为青年师资、学生学习与实践提供平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55"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软酷网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本科院校的软件工程、计算机科学与技术、网络工程、物联网、电子信息工程、通信工程、数字媒体艺术、电子商务等计算机相关理工科专业，利用其丰富的实践案例资源库和IT行业的技术积累，为高校提供混合式教学模式改革、课程体系创新、课程内容（MOOC）建设、实践教学体系建设和学习实践平台建设等合作解决方案，提供智慧教育平台与实践资源，并与高校的人才培养无缝对接，共同培养适应社会经济发展的应用型、工程型、复合型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"http://news.ruanko.com/archives/11595"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http://news.ruanko.com/archives/11595</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7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瑞萨电子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面向全国高等学校电子信息类、自动化类、电气类、汽车电子等理工类专业，涵盖嵌入式原理及应用等学科基础类课程，及嵌入式系统开发设计和汽车电子相关技术类课程。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"https://www.renesas.com/zh-cn/about/university-program/education-project.html"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https://www.renesas.com/zh-cn/about/university-program/education-project.html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面向全国高等学校电子信息类、自动化类、电气类、汽车电子等理工类专业，以培养专业人才为目标，建立单片机嵌入式联合实验室及汽车电子嵌入式联合实验室为培训基地，开展课程研讨和培训。</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3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睿亚训</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大数据技术及其相关专业方向，与院校共同合作，根据所在院校的生源和师资等实际情况，结合睿亚训提供的教学资源，推动高校完善教学内容、优化课程体系、提升教学质量，建成能够满足行业发展需要、可共享的课程资源并推广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"http://www.realaction.cn/cxhzxtyr.html"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www.realaction.cn/cxhzxtyr.html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面向全国高等本科院校大数据技术及其相关专业方向，通过师资培训，提升教师的工程实践能力和专业教学水平，以促进教学内容、课程体系、教学质量的完善、优化、提升。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1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面向全国高等本科院校大数据技术及其相关专业方向，与院校共同合作，联合建设实验室、实践基地，并开发有关的实验教学资源，提升实践教学水平，培养适应产业发展需要的高质量、复合型人才。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9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厦门网中网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会计类、财务管理类、审计类、税务类等专业方向，基于财会相关技术的进步，并结合校内相关课程实验需求，结合企业财会实训教学软件资源开发课程配套资源、实验项目指南及实验指导书，推动高校更新教学内容、完善课程体系，建成能够满足行业发展需要、可共享的课程、教材资源并推广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会计、财务管理、审计、税务等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"http://www.netinnet.cn"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http://www.netinnet.cn</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1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等院校的会计类、财务管理类、审计类、税务类等专业方向的青年教师，由网中网联合某些高校（例如南京审计大学、江苏理工学院）（或意向合作的其他高校）牵头共建财会方向的师资培训项目，其他学校参与培训； 开设会计最新实务知识、会计实务能力提升、财会技能教学相关的培训课程，接受教师申请到本公司参与会计实务流程、管理会计实训项目的研发设计。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会计、财务管理、审计、税务等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等院校的会计类、财务管理类、审计类、税务类等专业方向，合作建设基于业务财务税务一体化的财会虚拟仿真实训基地，基于财务为经营管理决策服务的创新创业能力训练中心，要求能够基于网中网实训平台开发配套课件，实验项目，实验指导书，教材及作为区域性实训教学示范基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会计、财务管理、审计、税务等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等院校的会计类、财务管理类、审计类、税务类等专业方向的学生，提供：出纳（岗位职责：负责银行结算业务、收付款业务、日记账登记）、会计（岗位职责：日常费用报销、往来款项核算、成本费用归集核算、总账、报表）、财务管理（岗位职责：财务预算、财务决算编制和分析、财务决策支持）,实习时间（10-30天），实习学生专业和年级要求（财会、审计相关专业大二及以上学生），企业和学校双方共同制订实习实训学生管理办法，共同参与学生实习实训过程管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会计、财务管理、审计、税务等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主要面向高校，由网中网提供师资、软硬件条件、投资基金等，支持高校建设基于财会创新创业教育的课程和实践训练体系、校企合作创新创业课题研究及创新创业实训软件开发和资助学生开展创新研究或创业实践等，组织学科带头人、行业企业优秀人才，联合编写具有科学性、先进性、适用性的财会创新创业教育重点教材，支持高校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7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会计、财务管理、审计、税务等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2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时代行云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电子信息类、自动化类、仪器科学类、计算机科学类等理工类专业，通过支持相关专业开展教学内容和课程体系改革，基于北京时代行云科技有限公司与教育部在线教育研究中心、学堂在线的战略合作成果，将现有课程内容与“智慧教学云平台无缝结合”，将原有课程建设成符合互联网时代需求的系列课程、教材、课件、实验指导书、配套实验方案，无缝衔接线上、线下、课内、课外、云端与实体课堂/实验，促进相关专业产学合作重构教学内容，优化课程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电子信息类、自动化类、仪器类、计算机类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电子信息类、自动化类、仪器类、计算机类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"http://www.xingyun001.cn/"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http://www.xingyun001.cn/</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电子信息类、自动化类、仪器科学类、计算机科学类、软件科学类、电气类和机械类等理工类专业，通过支持相关专业开展创新创业教育综合改革（针对老师），基于北京时代行云科技有限公司与教育部在线教育研究中心、学堂在线的战略合作成果，建设符合互联网时代需求的双创系列创新创业课程、教材、课件、实验指导书、配套实验方案，搭建创新创业创客平台，建立微信云智能互联双创空间，创客空间，优化双创课程体系，丰富双创培养方案，拉近产学距离，提升育人质量。服务“新工科”建设与“双一流”建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电子信息类、自动化类、仪器类、计算机类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电子信息类、自动化类、仪器类、计算机类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北京泰恒升维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校，建设内容：实践训练体系，在虚拟现实、脑电波、人工智能、大数据、三维打印、区块链等前沿技术领域，由企业引进通用技术、开发平台、创新产品、校外投资和创业导师等，学校组织学生参与模拟开发或实际经营，推动实践型合创业。科技成果转化，共建某专业科技成果转化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虚拟现实、脑电波、人工智能、大数据、三维打印、区块链等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http://www.taiyoufund.com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8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广东天波教育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与广东天波教育共建学前教育联合实验室，以联合实验室的科研力量来推动学前儿童健康管理的产业发展。优先考虑开设学前教育、教育技术等相关专业的高校；申报高校需在学前儿童健康方面有较好的研究基础并有长期合作的意愿。</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学前教育、儿童健康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相关专业</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http://www.telpoedu.com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主要是广东天波教育与申报院校联合建立校外实习基地，为申报院校提供学前教育、儿童健康等相关专业的实习实训岗位。实习学生在公司实习期间，将参与学前教育技术及教育信息化、儿童心理、生理健康等课题的研究、分析工作，参与公司的产品开发、测试、推广工作。项目参与大学生应为本科四年级学生或是研究生二年级以上学生,支持开设学前教育、教育技术等相关专业的高校申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学前教育、儿童健康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7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浙江天煌科技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日制本科院校的电子信息类、计算机类、机械类、电气类、自动化类、能源动力类、交通运输类、土木类、化工与制药类、环境科学与工程类、仪器类等理工类专业方向，重点投入和支持的方向为：智能制造技术（液压传动控制、工业机器人、高端数控装备、智能工厂产线仿真、自动线、工业网络信息集成、MCD设计与仿真）、新能源、智能电网、应用电子新技术、嵌入式、物联网工程、自动控制、运动控制、过程控制等专业的课程建设和教学改革工作，结合企业技术平台资源开发课程资源（教案、教材、课件、微课、仿真等）、教学实验设计，以及教学演示软硬件系统，建成一批高质量、可共享的课程和教学资源。</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理工科专业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理工科专业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"http://www.tianhuang.cn/"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http://www.tianhuang.cn/</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1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电子信息类、计算机类、机械类、电气类、自动化类、能源动力类、交通运输类、土木类、化工与制药类、环境科学与工程类、仪器类类等专业实施创新创业联合基金项目。针对中国制造2025、互联网+等重点领域技术，结合企业技术优势及资源，重点投入和支持的方向为：嵌入式、无线传输、智能终端、大数据与智慧工业云、高档数控机床和工业机器人、3D打印、先进轨道交通装备、节能与新能源汽车、智能电网、物联网、无人机、电力电子新器件及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理工科专业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理工科专业</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78"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日制本科院校的电子信息类、计算机类、机械类、电气类、自动化类、能源动力类、交通运输类、土木类、化工与制药类、环境科学与工程类、仪器类等专业方向的青年教师，由天煌科技联合高校开设现代制造、环保新能源、自动化、电气自动化、电子信息五大主题培训项目，设立12个单项课题与6个区域内的种子高校建立合作，倡导和建立师资培育区域联盟，并设立起一套可持续的运行机制。种子学校在师资培训和课程应用示范等方面起带头引领作用。参加师资培训，并同步向企业申报企业实践，企业安排教师到企业实践，参与项目研发、设计等实践工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理工科专业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理工科专业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66"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与全日制本科院校的电子信息类、计算机类、机械类、电气类、自动化类、能源动力类、交通运输类、土木类、化工与制药类、环境科学与工程类、仪器类等专业方向，以最新前沿技术和典型行业应用为导向，由企业赞助部分软硬件设备和平台，在高校建立联合实验室、实践基地，打造典型示范项目，要求根据平台的硬件和软件资源进行二次开发，设计教学实验系统，能覆盖特定的课程、特定的知识点，具有培养学生实践能力的教学使用价值，形成优质实验教学资源。</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理工科专业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理工科专业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51"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万霆科技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围绕“促进产业与专业对接，建立‘岗位引导式’人才培养模式”的目标，基于建筑工程、市政工程、道路桥梁工程、建筑设备工程等专业研究开发针对性强、理实结合、特色鲜明的全媒体课程体系和岗位及课程实训系统，并对近年来建筑行业出现的新技术、新工艺开发专业特色培训课程，对接岗位职业能力，最终建成一批高质量、可共享的课程体系和培养方案，实现教学过程与生产过程对接、课程与技能对接、专业与职业对接，并共享示范课程以辐射更多院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"http://www.v3ing.com"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www.v3ing.com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建项目围绕“虚实结合理实一体综合实训体系”，以传统的各专业等比例模型、实验室为实际载体，融入三维仿真技术、“互联网+”技术、增强现实技术（AR）、虚拟现实技术（VR）、建筑教学云服务、移动终端扫描技术等现代建筑实训教学的多种高新技术手段，基于建筑工程、市政工程、道路桥梁工程、建筑设备工程等专业教学虚实结合、理实一体化、特色鲜明的课程体系和各岗位实训系统环境，建成一个多功能、全天候的，寓教于乐，可观、可学、可练的综合实验室、实践基地，加强实验实训中心建设与管理机制创新研究，深入开展实践教学质量监控、评价和保障体系建设研究，促进项目驱动教学，提升学生的实践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围绕目前计算机虚拟可视化专业的热点技术领域，包括3d模型、3d动画、高级UI设计、虚拟仿真VR技术等，同时为有创业创意的在校生提供专业的创业培训教育课程和创业技术支持。万霆科技将联合高校在这些领域建设创新创业教育课程体系、实践师资培训训练体系、创客空间、项目孵化转化平台等工作，促进高校开展创新创业教育教学方式改革，深入挖掘符合创新创业的教学方式，形成一套高效率、低成本、校企共赢的人才培养方案和项目孵化平台，并形成可复制可推广的经验和做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福建网龙华渔教育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本科VR相关专业方向，“网龙华渔教育教学内容和课程体系改革项目”将围绕目前VR产业的热点技术领域，基于VR产业的岗位需求，针对VR程序开发技术、VR场景开发技术、VR设计与制作技术、VR策划技术、VR综合实训等，建成一系列优质、可共享、具有示范价值的课程并在高校开设及推广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7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VR产业与技术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http://edu.101.com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本科VR相关专业方向，旨在通过联合共建VR综合实训室、VR尖端技术互动体验中心，拓宽院校合作路径，实现产学多层次、多维度的深度协作。以实践环境建设为基础，与合作院校共同完成新常态下VR领域专业的方向定位、培养方案构建、课程开发、教学过程设计与实施以及教学情境开发等，提升院校实践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VR产业与技术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武汉易思达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等院校电子信息类、计算机类等相关专业，围绕通信原理、移动通信、光纤通信、数字信号处理、软件无线电、无线通信系统、移动通信协议、物联网、移动互联网等课程，将电子信息产业和技术的最新发展，行业对人才培养的最新要求引入到教学过程，校企共建系列化课程体系，包含更新教学内容，开发实验项目，编写理论和实验教材，编写电子教案等内容，支持高校课程建设和教学改革工作，建成一批高质量、可共享的课程体系和教学改革方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http://www.wheasystart.com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等院校电子信息类、计算机类等相关专业，校企合作共建通信专业实验室（通信原理、移动通信、光纤通信、数字信号处理、无线通信、软件无线电等方向）、移动通信系统实验室（4G、5G等方向）、物联网创新实验室、电子与通信综合创新实验室、通信创新创业实践基地、通信课程与通信系统虚拟仿真实验室，通过优势互补、资源整合，创新电子信息类专业实验课程，探索移动通信、物联网的新技术在教学中的应用，将项目式教学、口袋实验室、电子积木、虚拟仿真、远程实验等引入到创新创业、课程设计、毕业设计、竞赛训练和实习实训环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等院校电子信息类、计算机类等相关专业，利用武汉易思达投资兴建的“光谷·移动互联网创新基地”的软硬件环境，与院校共建校外实践基地。基地按照现代企业环境进行设计，专用于为高校提供认知实习、企业实习、毕业实习等全流程解决方案。基地以真实的项目为案例，按照企业研发流程，融入企业管理、企业文化等内容，全面提升学生实践和创新能力，实现由学生到准职业人的转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9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等院校电子信息类、计算机类等相关专业，针对申报电子信息、通信、信号处理、物联网等方向的创新创业基地，融合企业资源，为高校提供开源软硬件平台，建设创客空间、创新创业通识课程体系、创新创业实践训练体系、创新创业师资培训体系、创新创业案例库，支持学校开展各类创新创业竞赛，协助高校开展创新创业教育改革，打造产学研创相融合的新型人才培养模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3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武汉中智讯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计算机、通信、电子信息、物联网类相关专业开展申报，通过支持相关专业课程建设，改进课程教学内容，优化课程体系，推进优质教学资源共享，提升专业教学质量，培养行业需求的人才。项目重点支持大数据、云计算、物联网等专业方向的课程建设，形成与行业对接的培养方案以及课程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"http://www.zonesion.com.cn/"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http://www.zonesion.com.cn/</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计算机、通信、电子信息、物联网类相关专业开展申报，进行物联网、云计算、大数据、嵌入式等专业方向的师资培训，根据“提高教育教学能力、教育创新能力和教育科研能力”的指导思想，推行项目管理制度，打造更高层次专业型、应用型、创新型、复合型师资团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物联网、云计算、大数据、嵌入式等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旨在与高校合作建设联合实训室、实践基地，提升学校专业实践环境，共同开发有关的教学资源，提升学校实践教学水平。项目围绕物联网、云计算、大数据、嵌入式等技术方向。支持高校在以上技术方向建设联合实训室，服务于高校基础教学及实训科研。同时也可以基于实训室环境开展创新创业、培训认证、课程建设等，推动高校技能型人才培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物联网、云计算、大数据、嵌入式等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该项目面向高校，由企业提供师资、软硬件条件、建设经费等，支持高校建设创新创业教育课程体系、实践训练体系、创客空间、项目孵化转化平台等，支持高校创新创业教育改革，开展以技术创新为核心的创客教育，培养创新型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96"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西安三好软件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建设类院校，旨在响应国家“建筑业信息化发展纲要”及“教育信息化十三五规划”，以建筑仿真应用技术为基础，解决建设类院校人才培养与行业实习实训成本高、危险性高、可操作性难度高的客观矛盾，同时高逼真还原专业人才未来就业的实际岗位环境及工作内容，利用建筑虚拟仿真、VR、AR、BIM等新兴行业技术，打破传统的教学过程，融合现代化教学理念，细化、趣味化、具象化、系统化分解建设类院校相关专业课程，助力高校培养建设类实战型人才、打造王牌建设类专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"http://www.3goodsoft.com"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www.3goodsoft.com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21"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建设类院校，旨在响应国家“建筑业信息化发展纲要”精神，大力支持建设类院校实践实训所需软硬件、服务、基础设施的建设，积极探索利用产学研协同发展的优势，创新尝试校企合作共建实训基地模式，尽可能的塑造与现实操作几乎无异的实践模拟环境（包含工具，场地，设备），创新应用“多层次实践实训因素组合拳”打造高匹配度就业的一流应用型人才输出基地、校企共建创新实训基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57"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北京新大陆教育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围绕目前物联网相关专业领域，包括物联网、大数据、智能制造专业的教学和课程体系改革，改革目标旨在帮助高校在这些领域的课程建设和教学改革工作，利用创新的教学方式方法，提高相关课程的教学效果，以市场需求为导向，产教融合，创新应用技术人才培养模式，引导课程设置、教学内容和教学方法改革，构建双主体育人的人才培养模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物联网、大数据、智能制造等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"http://www.newland-edu.com/"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http://www.newland-edu.com/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39"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为了适应教育改革发展和院校师资培养培训的需求，新大陆教育以建设区域性包括物联网、大数据、智能制造师资培训基地为出发点，帮助有关高校建立在全国具有影响力的师资培训基地。师资培训基地以提高本区域专业教师的专业技术水平和教学实践能力为重点，派遣企业内部经验丰富的专家授课，并进行实训指导，提升教学团队建设机制和专业素质提升机制，帮助学校培养既有高校教师资格的专业职称，又有职业资格和技能等级证书、较强实践操作能力的“双师”结构师资队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物联网、大数据、智能制造等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此项目主要面向高校有关院系，企业提供软、硬件设备或平台，在高校建设联合实验室、实践基地等，拟在教学创新、科研创新和应用创新等方面展开深入合作，与合作高校一起探索构建创新创业人才培养体系。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物联网、大数据、智能制造等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通过建设大学生实习实训项目，培养学生综合运用所学的基础理论与实践相结合，提升学生的创新精神、实践能力、社会责任感和就业能力。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物联网、大数据、智能制造等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在教育部指导下，支持高校推进创新创业教育改革项目，包括创新创业项目开发及项目实训教学资源包。创新创业教育建设是协助学校开发创新创业理论教学与实践过程相结合的内容，校内校外资源相结合，企业导师参与开发和指导实践。创新创业教学改革项目，旨在促进创新创业教育的新方法、新方式的探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物联网、大数据、智能制造等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1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新道科技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经管学院、财会学院、信管学院等经管类、信息类相关专业，围绕培养创新型复合性综合应用人才总目标，支持高校开展商科专业方向教学内容和课程体系改革，研究产业岗位能力模型，探索应用人才培养模式，完善实践课程体系和培养方案，优化实践教学内容，革新实践教学手段与方法，丰富实践课程教学资源，优化人才培养质量，探索人才能力动态评估，对接产业人才需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60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"http://www.seentao.com/"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http://www.seentao.com/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经管学院、财会学院、信管学院等经管类、信息类相关专业，围绕培养创新型复合性综合应用人才总目标，支持高校开展商科教学专业方向的师资培训，通过提高教学技术、优化教学方法和设计教学逻辑等的研究，提高教师教学水平和教学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1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经管学院、财会学院、信管学院等经管类、信息类相关专业，围绕培养创新型复合性综合应用人才总目标，支持高校开展商科实践教学专业方向的实践条件建设方案设计，加强实验实训中心建设与管理机制创新研究，深入开展教学做一体化和提升岗位职业能力研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9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经管学院、财会学院、信管学院等经管类、信息类相关专业，围绕培养创新型复合性综合应用人才总目标，支持高校开展商科专业方向的校外实践基地建设，依托新道先进技术及人才培养体系，探索新型校外实践基地培养模式和管理机制，增强学生实践能力，提升教师实践教学水平，提升校外实践教学质量及效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本项目围绕促进学生双创意识普及和双创能力培养，支持教育课程建设、教学模式改革及双创实践项目，推动高校全面开展双创教育及专项师资培养，扩充双创教育课程资源，健全与专业融合的新型创新创业教育体系，促进高校双创教育教学方式改革，探索高校创新创业生态建设，并形成可复制可推广的经验和做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3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新开普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围绕IT产业高新技术，以新开普技术体系为核心，组织行业领军企业，从智能识别、大数据挖掘、VR研究、软件开发工程实践课程四个课程方向，分别协助高校建设一批高质量的应用类课程，帮助合作院校建设特色专业和课程。同时，申报者也可以针对特色专业进行专业改革方面的教学方案和人才培养体系建设。开展校企合作培养实用性人才模式，开展企业项目协同开发及实训,进一步促进高校学生职业能力的全面提升，提升学生的就业竞争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智能识别、大数据挖掘、VR研究、软件开发等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"http://www.newcapec.com.cn/chanxue/"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http://www.newcapec.com.cn/chanxue/</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本项目旨在鼓励在校大学生自发的创新创业，对于有创新想法并有意愿将想法转化为IT产品的在校学生或团体进行技术指导、创业指导、奖励和创业基金支持，以帮助大学生积极创新创业，获得更多实践经验，提高综合专业技能和对市场的认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智能识别、大数据挖掘、VR研究、软件开发等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新开普公司依据企业研发中心专业团队优势和行业内专家资源整合优势，面向高校IT类应用型专业的青年教师，开展软件开发、智能硬件设计、嵌入式开发、物联网应用、大数据应用方面的专业师资工程实践能力培训，并组织参与者参加公司的商业项目开发，提升参与老师的工程实践能力，因此提升教学水平，协助高校建设双师型队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8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智能识别、大数据挖掘、VR研究、软件开发等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54"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新开普公司将依据资源优势和资金优势，指导学校和学院打造示范型实训基地和高端实验室，并且为实验室使用提供师资培训的技术支持。在院校提供场地的前提下，公司提供校内实训基地和高端实验室建设的专业设备、软件环境、资金支持和实践条件建设资助，通过该项目为合作院校提供课程研讨、技术交流、技术竞赛等活动支持，使之可服务于互联网、教育和智慧生活产业及研发需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智能识别、大数据挖掘、VR研究、软件开发等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此项目主要面向高校，由企业提供师资、软硬件条件、投资基金等，支持高校建设创新创业教育课程体系、实践训练体系、创客空间、项目孵化转化平台等，支持高校创新创业教育改革。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智能识别、大数据挖掘、VR研究、软件开发等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6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依元素科技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高校电子信息、计算机科学、软件科学、自动化、仪器科学、电气类等理工科相关专业教师，通过设立课程资助,寻求具有中国特色的先进教学理念结合工业前沿技术来转化为实验教学内容与综合实验实践项目, 重点支持新兴工科专业特色课程建设与面向基础、专业课程的新教学思路课程改革，包含但不限于实验平台创新，教材教案开发，MOOC教学视频开发、课赛结合、项目式学习等各种创新教学方式，借此支持教育部开展新工科研究工作及双一流建设, 打造符合中国特色的工程教育新体系。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"http://www.e-elements.com"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www.e-elements.com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6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益达教育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益达教育公司将联合怡亚通集团及其上下游企业，运用其自身全球供应链业务中的运营数据、业务流程、操作平台等重要素材与全国本科学院共同研究“怡达校园020商业生态圈” 教学模式改革与新零售课程体系课题研究，编制创新创业实践课程（计划与大纲）和微课视频、教案等，建设校企双方以实践教学为核心的供应链运营与双创实战研究课程体系。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8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"http://www.e-techedu.com"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www.e-techedu.com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开放益达教育020新零售运营平台项目（单个项目：1-3个月）</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遵照教育部双师型师资要求，以益达教育开发的唯益优选电商平台全国性的电商运营项目为载体，依托怡亚通全球供应链商业生态圈运营模式，邀请学校专业带头人来参与制定全球供应链系列与020新零售系列的师资培育计划，参与为期1-3个月的校园020新零售项目运营与指导，为校方培养熟悉020新零售全过程创新创业指导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6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广州粤嵌科技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专业及对象：物联网工程、计算机科学与技术、软件工程、通信工程、电子信息、自动化、电气工程等理工类相关专业重点课程建设。建设目标：建成一批高质量、可共享的课程体系和培养方案，高校和企业都可以参考借鉴用于教学和人才培养目的，让学习者掌握相关专业知识和岗位职业技能。</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建设内容：课程建设主要包含理论课程内容建设、教学资源建设（教材、课程大纲、PPT、实践案例、实训项目等）。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http://www.yueqian.com.cn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专业及对象：物联网、嵌入式、计算机科学与技术、软件工程等相关专业创新创业项目。建设目标：支持大校生创新创业项目研究和开发及项目孵化，锻炼学生实践能力和创新创业能力，提升综合素养。建设内容：项目申报团队完成立项项目所要求的研究和设计成果，粤嵌科技全面助力高校创新创业项目孵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计算机类、电子信息类、自动化类、电气类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专业及对象：物联网、嵌入式、计算机科学与技术、软件工程等相关专业。建设目标：建成可用于专业课程实践、课程设计、毕业设计、创新训练、竞赛赛前训练等使用的实践基地。建设内容：学校提供电脑、实验桌、场地等基础条件，企业根据学校专业规模捐赠专业实训设备，并提供配套的实验实践方案、实验实践训练项目指导书，学校提供设备的使用情况及使用效果等反馈信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专业及对象：物联网、嵌入式、计算机科学与技术、软件工程等相关专业创新创业教育改革。建设目标：打造‘创客联盟’支持高校创新创业教育改革。培养兼具专业知识、岗位技能和创新创业素养的“能创新、有创意、善创业”型人才，推动院校在“大众创业、万众创新”大背景下的教学改革和驱动创新。建设内容：粤嵌科技面向高校提供包括创新创业课程、创新创业实践训练、创新创业师资培训、创客空间建设、项目孵化转化平台等不同的解决方案，全面助力高校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7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中国华录集团</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主要面向计算机相关理工科专业、艺术设计相关专业的高校进行申报。华录文化教育学院与高校开展深层次的校企合作，共同制定人才培养方案，将校园式的理论技术教育与就业创新型实训教育有效结合。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计算机、艺术设计相关专业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计算机、艺术设计相关专业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"http://www.hualuedu.com/"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http://www.hualuedu.com/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围绕大学生创新精神、创业意识和创新创业能力的人才培养，推动高校进一步提升创新创业教育课程体系内容，扩充创新创业教育课程资源。以华录文化教育学院下的创业社区为依托，将教育与创新创业相结合，支持高校建设创新创业教育课程体系、实践训练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计算机、艺术设计相关专业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计算机、艺术设计相关专业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75"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中科大奥锐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日制高等院校，各实验教学中心、校级实验教学管理部门。项目建设针对传统教学管理手段下在实验课前预习、课堂教学、课后复习与交互、实验报告、实验考试等环节中制约实验教学质量提升瓶颈问题，研究开发虚拟仿真实验资源及虚实结合的实验教学环节系列管理系统。包含：1、虚拟仿真实验资源开发。2、实验报告标准化模板开发。3、实验教学环节系列管理系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"http://www.ustcori.com/Item/Show.aspx?f=2&amp;id=66&amp;classid=107"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http://www.ustcori.com/Item/Show.aspx?f=2&amp;id=66&amp;classid=107</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无锡中科智库</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物联网专业、嵌入式专业、软件专业、网络工程专业、机器人专业等电子计算机类一线授课老师，依托中国科学院物联网研究发展中心19个内部研发单元和15家兄弟公司的资源，为院校提供10个定岗实习岗位。实习形式有现场观摩、组织培训、岗位实操、参与项目研发和技术改造等。老师实习期间有企业发放实习工资，对参与的项目额外计算报酬。</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"http://edu.ciotc.org/"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http://edu.ciotc.org/</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物联网专业、嵌入式专业、软件专业、网络工程、机器人专业的大三、大四在校生，无锡中科智库物联网技术研究院有限公司提供实习实训场地。认知学习场地：“感知中国博览园”、“中科院物联网发展研究中心展示中心”、“智慧城市展示中心”；生产实训场地：中国科学院物联网研究发展中心教育培训中心智慧工业流水线；安装调试实训场地：中国科学院物联网研究发展中心教育培训中心智能家具展馆和智能农业展馆；项目实训场地：中国科学院物联网研究发展中心教育培训中心。食宿统一安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物联网专业、嵌入式专业、软件专业、网络工程专业、机器人专业院校，无锡中科智库物联网技术研究院有限公司依托中国科学院物联网研究发展中心教育培训中心及企业资源。通过改善课程体系、完善实践教学内容、提供专家技术指导的方式将教育培训中心的课程案例以及企业的真实项目、技术专家及相关软硬件设备引入到学校创新创业教育改革中，意在促进相关专业重点课程教学资源建设、融入创新创业思维教育，推动院校在“大众创业、万众创新”大背景下的教学改革和驱动创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3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深圳中诺思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日制本科院校电子信息、物联网、物流工程、计算机等理工类专业的个人或团队，重点投入和支持的方向为：大数据、云计算、人工智能、VR/AR、SAAS平台、三维动漫设计、多媒体设计、计算机科学与技术、移动互联网APP开发。通过相关项目研究和开发，锻炼学生创新创业能力和实践能力，提升综合素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"http://www.ns-china.net/"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http://www.ns-china.net/</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日制本科院校电子信息、物联网、物流工程、计算机等理工类专业的个人或团队，重点支持高校建设创客空间、项目孵化转化平台、创客教育，支持高校创新创业教育改革，搭建创新创业创客平台促进相关专业与企业合作，丰富培养方案，拉近产学距离，提升育人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1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佛山创智星空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设有STEAM与创客教育、教育技术学相关专业的高校教师，提供经费、师资、技术、平台等软硬件多方面的支持。一方面将STEAM与创客教育领域的最新发展、行业对人才培养的最新要求引入教学过程，另一方面通过项目驱动方式开展教学，实现对高校教学内容和课程体系的改革。</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将由高校和企业共同建设创客教育系列专业课程，推动高校更新教学内容、完善课程体系，建成能够满足行业发展需要、线上线下相结合的O2O课程体系，并推广应用。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计算机类、电子信息类、教育技术专业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计算机类、电子信息类、教育技术专业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"http://www.ymworkshop.com/"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http://www.ymworkshop.com/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1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每年接收15个左右的实习名额，教育技术学、STEAM与创客教育等相关专业的大三、大四学生，将到公司开展为期1年的实习。实习期间将以项目驱动的方式进行，参与公司创客教育具体项目的实施和运营，其中包含创客教育相关课程内容的建设和完善、参与创客相关的活动与比赛、参加创客课程的具体授课，以期通过实习实训快速提升大学生的实践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计算机类、电子信息类、教育技术专业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计算机类、电子信息类、教育技术专业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提供面向应届毕业生的创新创业孵化平台，为应届毕业生的毕业论文、毕业设计提供方向、思路和相关的软硬件平台支持，以及专业创客导师的指导。以期通过毕业设计、毕业论文的指导与实践，帮助应届毕业生孵化创新创业的思路。通过企业在创客方面的优势，为创新创业教育改革提供支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计算机类、电子信息类、教育技术专业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计算机类、电子信息类、教育技术专业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7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章鱼大数据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对象是应用型本科的计算机科学与技术、软件工程、网络工程、电子商务、信息与计算科学、电子信息工程、计算机应用与维护、数学应用、统计学等相关专业。通过校企合作方式共同开发大数据方面的精品课程并通过把课程落实到教材的方式形成教材和课程的有机整体，利于传播从而能够快速高效的把成果传递到需要这些精品课程的学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"http://www.ipieuvre.com"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www.ipieuvre.com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对象是应用型本科的计算机科学与技术、软件工程、网络工程、电子商务、信息与计算科学、电子信息工程、计算机应用与维护、数学应用、统计学等相关专业。提供真实多维度的数据、并在数据之上引导性的提供真实的大数据成熟环境里的真实应用案例，让老师和学生能够在真实的大数据环境里学习、实验、实践。解决“卓越工程师教育”的环境问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7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照澜院教育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专业及对象：面向计算机类和电子类等学科的所有专业课中青年教师；建设目标和内容：以企业一线技术应用为方向，以实践操作能力为主导，强化学生实践动手能力；课程建设内容包括：与企业一线无缝对接的课程教学大纲、教案和视频微课，并且搭放在院校自己的教学平台或者照澜院教育的教学平台之上，同时，在相关高校中结合线下课堂教学开展混合教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"http://www.zhaolanyuan.com"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www.zhaolanyuan.com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专业及对象：计算机类和电子类等学科的所有专业的大二、大三、大四学生；建设目标和内容：帮助大学生形成必要的创新创业团队，帮助有想法并有意愿将想法转化为IT产品（以下简称作品）的在校学生或团体进行辅导和奖励,以帮助大学生能够完成创新创业产品或者设计，获得更多实践经验，提高综合专业技能和对市场的认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3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专业及对象：计算机类和电子类等学科的所有专业负责人（由负责人安排统一组织青年教师参加培训）；建设目标和内容：借助照澜院教育多年的培训经验及优秀师资队伍，重点向全国广大院校及附属机构开展师资培训项目，大力推广IT实践技能培训，从而帮助院校老师了解IT市场的技术需求与发展趋势；强化院校教师对一线IT技能掌握能力；同时，为院校老师提供教学法方面的示范，并提供相关教学资源和案例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8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专业及对象：计算机类和电子类等学科的所有专业实习实训负责人；建设目标和内容：开展深入合作，通过建立校外实践基地建设，为合作院校提供1个月免费的职业技能项目实习，保障学员能够将大学所学理论知识和技能等在本公司能够以项目化的方式进行应用，同时，也同时强化和提升学生的IT技能；能够掌握基本的就业技能，实现高薪就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5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烟台新天地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项目主要面向全日制本科院校的土木工程、机械设计等专业，重点投入和支持的方向为：结构力学、材料力学、钢结构、钢筋混凝土、结构动力学等相关课程的实验教学体系建设，主要包含：实验过程操作虚拟仿真、模型有限元仿真、实验解析解仿真、实验视频、实验报告、实验指导书、相关辅助实验资料等实验教学资源并协助老师将仿真资源与实验教学同步进行，开设在线实验课程，虚实结合，促进实验教学改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土木类、建筑类、机械类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土木类、建筑类、机械类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"https://www.xtdsyj.com/zh-hans/2017cooperative"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https://www.xtdsyj.com/zh-hans/2017cooperative</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土木工程、机械设计等专业实施创新创业联合基金项目。按照多层次实验教学的指导思想，结合学校现有实验教学资源，设立部分实验教学设备、实验模型、随堂教具的改进或研制项目。对于有推广价值的优秀项目采用专利联合申报、合作开发、共同受益的发展模式，以期滚动发展。重点投入和支持的方向为：结构力学、材料力学、钢结构、钢砼结构动力学等实验课程，实验设备改进的主要内容为基于烟台新天相关实验设备加载测试设备功能改进、增加新的加载测试方案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土木类、建筑类、机械类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土木类、建筑类、机械类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公司由单纯的教学实验技能培训逐步发展到覆盖实验方案设计、设备操作、模型制作、大学生科创辅导等多层次、多方向的培训，并将培训对象逐步扩大到高校教师。目前正结合已采购设备用户，根据用户的地理位置及资源优势，逐步建立区域性共建培训基地，根据不用学校所拥有设备的不同，可根据申请培训学校的特点，由该校牵头设立某一特定的培训方向。受训老师通过培训考核合格后，可参与我公司研发课题深入长期合作，联合研发的作品，所产生的的收益及著作权双方共享。</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土木类、建筑类、机械类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土木类、建筑类、机械类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主要面向高校土木工程、机械设计院系，合作项目为力学类开放实验室建设，主要服务项目为相关课程的实验教学及教师相关科研项目技术支持，协助教师解决实验教学、科研中遇到的关键技术问题。目前提供支持的实验课程如下：材料力学、结构力学、钢结构、钢筋混凝土、结构动力学等，主要合作内容有相关课程的实验教学设备、实验教具的研制，配套实验教学资源的建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土木类、建筑类、机械类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土木类、建筑类、机械类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35"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奥鹏教育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对IT新技术应用、电子商务、学前教育、机械制造、智能汽车及人才培养、创新型教学模式尝试与运用有热情和兴趣的教师或团队；利用先进的云平台支撑服务模式，将行业对人才培养的最新要求引入教学过程，协同开发系列课程，推动高校更新教学内容、完善课程体系，建成能够满足行业发展需要、人才岗位实际需要、可共享的课程、教材资源并推广应用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7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IT新技术应用、电子商务、学前教育、机械制造、智能汽车等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计算机类、电子信息类、机械类、电子商务类学前教育等专业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"http://www.open.com.cn/topic/2017/sczyhz/index.html"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http://www.open.com.cn/topic/2017/sczyhz/index.html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9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广州为学教育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面向全国高等院校计算机学院及其相关院系，建设三门在线课程：Unity3D开发基础、Java基础、Android基础三门在线课程。每门课程均为32个学时。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"http://www.fkit.org/pxdt/2289.html"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http://www.fkit.org/pxdt/2289.html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面向全国高等院校计算机学院及其相关院系，师资培训拟举办6期，每期10个名额,每期资助资金6万元（包括公司授课费用、被培训教师的餐饮、食宿费用）。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"http://www.fkit.org/pxdt/2285.html"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http://www.fkit.org/pxdt/2285.html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计算机学院及其相关院系，校外实践基地建设项目拟提供500个实习实训名额，分为10期，每期50个名额,每期资助资金6万元（包括公司授课费用、学生住宿费用、学生补贴）。原则上每所院校申请的实习实训名额不得多于50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"http://www.fkit.org/pxdt/2287.html"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http://www.fkit.org/pxdt/2287.html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4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厦门圣才教育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1.紧贴企业用人要求，开展“互联网+传统学科”的专题课程组研究，明确定位学生职业方向。</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以企业真实项目驱动式教学为主线，培养应用型人才，积累项目经2.验。</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3.建立集中式、模块化教学，建立技术课程组和与之关联的长短周期实训项目组。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"http://www.shengcai.com/xiaoqi.html"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www.shengcai.com/xiaoqi.html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通过在企业基地开展项目实训和职业人综合素质训练，对学生进行实习实训的全方位、综合素质教育，提高学生工程实践综合能力。</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2）基地培养以基础与实践并重，重实践能力、应用能力，与高校联合培养共建专业，不断增强学生的技能和就业竞争力。</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3）推进工程实践到创新创业的大融合，形成实训阶段的产学合作培养方案，形成实践环节的校外实习实训基地。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35"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棕榈教育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日制本科院校的风景园林专业，共同研讨高水平应用型人才培养模式，改革教学方法、调整教学内容，结合虚拟教学平台开发课程配套课件，实验项目等资源，提升高校教学质量；通过共同建立培训基地，提升人才应用技术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园林等专业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园林等专业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"http://www.palm-edu.com"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www.palm-edu.com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浙江亚龙教育装备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项目围绕机器人工程、自动化、轨道交通信号与控制、物联网工程、电子信息工程、电子信息科学与技术、光电信息科学与工程、电子科学与技术、智能电网信息工程、电气工程及其自动化、机械工程及自动化、机械设计制造及其自动化、应用电子技术、机电技术、电气信息工程等相关专业，支持高校在这些领域的课程建设和教学改革工作，建成一批高质量、可共享的课程教案和教学改革方案。这些建设成果将开源开放，任何高校均可参考借鉴用于教学和人才培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"http://www.yalong.cn/view.jsp?id0=z0hhyi1hbf&amp;id1=z0hkwd4dvd&amp;id=z0izv15tpz"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http://www.yalong.cn/view.jsp?id0=z0hhyi1hbf&amp;id1=z0hkwd4dvd&amp;id=z0izv15tpz</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8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大学生创新创业联合基金项目主要面向高校，与教育部高等学校教学指导委员会合作，开展高校大学生双创技能竞赛，培养和提高学生的创新创业素质和能力，促进团队的融合协作。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项目主要面向青年教师，与高等院校及教育部高等学校教学指导委员会合作，组织教师开展工业机器人技术、高档数控机床（西门子840D、发那科31I）、智能楼宇技术（DDC系统集成技术）、自动化集成仿真系统等领域的技术培训、经验分享、项目研究等工作，提升教师工程实践能力和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9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项目围绕着机器人工程、自动化、轨道交通信号与控制、物联网工程、电子信息工程、电子信息科学与技术、光电信息科学与工程、电子科学与技术、智能电网信息工程、电气工程及其自动化、机械工程及自动化、机械设计制造及其自动化、应用电子技术、机电技术、电气信息工程等相关专业与全日制高等院校建设联合实验室，主要有工业机器人技术、高档数控机床（西门子840D、发那科31I二次开发）、可编程网络控制技术、智能制造技术（ERP、MES、自动化集成技术系统）、智能楼宇技术（DDC系统集成技术）、液压与气动、自动化集成仿真系统等技术方向，与高校建设联合实验室推动产学结合，同时实验室又可作为教学内容和课程体系改革项目、师资培训项目的技术平台依托，开展相关课程研讨和技术培训。</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2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希毕迪（北京）</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协助高校实现全互联网化的“互联网+智慧教育”。零时差、零距离、全覆盖的沟通交流和精准化的云平台部署与运营。为高校提供覆盖学习全流程的便捷管理平台。在互联网上建设优质资源的共享平台，在高校内构建以教学设计、微课为主要内容的教学资源库，逐步形成集教、学、研、训、评为一体的“互联网学习生活空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"http://www.cbdedu.com"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http://www.cbdedu.com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0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深圳优课在线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本科类高等院校，开展两类应用型课程的项目申报。第一类为计算机应用型课程项目，重点支持：移动互联网应用开发（Android）、移动互联网应用开发（IOS）、Web应用开发（.Net）、Web应用开发（JAVA）、软件测试、网络工程、物联网工程、计算机游戏与VR、大数据科学与技术等9个课程群方向。第二类为其他应用型课程项目，重点支持：传统文化、自然科学、电气工程、经济生活、艺术欣赏、沟通表达、数学素养等7类主题。着力建设一批高水平应用型在线课程，推动教学内容改革，满足高校专业建设所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计算机、文学、经济管理、艺术等专业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计算机、文学、经济管理、艺术等专业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"http://www.uooconline.com/project/xtyr2017a"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http://www.uooconline.com/project/xtyr2017a</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1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桂林兴华</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校科学教育和物理学（师范）专业征集遴选承担院校（乙方），通过向乙方科技教育类专业人员提供培训和持续专业支持，协助乙方建设科技教育创客师资培养课程，打造科技教育创新实践基地，协同乙方构建对接师资用人单位的有效渠道，建立“双创”型科技教育师资培养体系，使其科技教育创客培养能力得以跨越式提升，带动科技教育师资人才培养模式的改革创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7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教育学、物理学等专业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教育学、物理学等专业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"http://www.risechina.org"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www.risechina.org</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正保教育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正保教育提供资金和技术支持，基于教学内容和课程体系改革需求分析，依托“大智移云”现代网络技术，整合会计专业各环节的教学资源，研发“会计专业高校一体化教学平台”和面向高校的会计专业课程资源，并将开发成果免费提供给院校使用，协助院校实现线上线下深度融合，以推进会计教学环境互联网化，教学内容知识点化，教学形式多样化，教学管理信息化，全面提升会计专业人才培养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http://edu.chinaacc.com/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财会相关专业教师，提供财会行业发展的前沿信息及国家最新财税政策法规解读；分享专业课程教学名师的教学经验和授课方法；探讨信息技术在教学中的应用，推进课堂教学方法和学习方式变革；培训和推动在一线教学中实践移动信息化教学、混合式教学、翻转课堂、行动教学等多种新型教学法；面向青年教师，开展技术培训、经验分享、项目研究等工作，提升教师的工程实践能力和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企双方合作共建，正保教育负责策划和设计产业实训基地建设方案，持续负责日常运营和业务发展，安排专家对参与工作的教师进行组织和管理，对参与实训的学生进行指导和测评；高校负责提供场地和建设运营经费，组织老师和学生参与基地日常工作，配合基地管理制度的建立和执行，参与有关实验教学资源的开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本项目采用互联网云平台和大数据技术整合行业、企业和教育资源，充分利用自身优势，不断完善职业发展与就业指导课程体系，将职业技能实训与行业岗位相融合，分行业、分阶段进行岗前综合实训，全程陪伴式教学指导，从根本解决毕业生不符合企业用人需求的矛盾。采取“互联网+实习就业”新模式，准确掌握实习毕业生求职意愿和用人单位岗位需求信息，实现人岗精准匹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100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4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北京润尼尔</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现面向国内高等院校联合开发光电类学科虚拟仿真实验项目，从而加强学校学生实践能力和创新精神培养，提高学校才培养质量，推进学校实验教学内容、方法、手段、队伍、管理及实验教学模式的改革与创新，探讨新形势下学校实验教学的新思路、新模式。</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此次立项具体开发的虚拟仿真实验为如下几个实验：（1）LED外延片的电致发光虚拟仿真实验。（2）LED路灯智能照明虚拟仿真实验。（3）LED外延生长虚拟仿真实验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光电专业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光电专业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"http://www.rainier.net.cn/xwzx/hyzx/xnfzsbzn"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http://www.rainier.net.cn/xwzx/hyzx/xnfzsbzn</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9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布尔教育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布尔教育针对高校现阶段实训课程教育的需求，发起“互联网＋PHP、WEB前端等骨干教师培训班计划”，为高校大学生提供课程实训培训，以大学生创业实训课程体系为载体，充分整合社会资源，校企合作、协同育人，共同提升高校实训课程的教学技能，打造全新的“互联网+”师生培养模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"http://www.itbool.com"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http://www.itbool.com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82"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广州汉达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由禅城区民政局组织开展禅城区“大学生实习实训项目”，委托第三方广州市汉达社会工作服务中心负责运营，项目招募广佛本科高校社会工作专业大三、大四的学生组队到禅城区社会工作实训基地进行实训。汉达社工中心、禅城区民政局、高校社工师生、家综、社区五方为实训学生提供专业培训和资源链接。实训团队在实训期间产生自己的小组项目，并负责项目实施。</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8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社会工作</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社会工作</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"http://mp.weixin.qq.com/s/VFSUsfkwpQwrz7k4k1lRDg"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http://mp.weixin.qq.com/s/VFSUsfkwpQwrz7k4k1lRDg</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bl>
    <w:p>
      <w:pPr>
        <w:spacing w:after="156" w:afterLines="50"/>
        <w:jc w:val="left"/>
        <w:rPr>
          <w:rFonts w:hint="eastAsia" w:ascii="方正小标宋简体" w:eastAsia="方正小标宋简体"/>
          <w:color w:val="000000" w:themeColor="text1"/>
          <w:sz w:val="36"/>
          <w:szCs w:val="36"/>
          <w:u w:val="none"/>
          <w14:textFill>
            <w14:solidFill>
              <w14:schemeClr w14:val="tx1"/>
            </w14:solidFill>
          </w14:textFill>
        </w:rPr>
      </w:pPr>
    </w:p>
    <w:p>
      <w:pPr>
        <w:spacing w:after="156" w:afterLines="50"/>
        <w:jc w:val="left"/>
        <w:rPr>
          <w:rFonts w:hint="eastAsia" w:ascii="方正小标宋简体" w:eastAsia="方正小标宋简体"/>
          <w:color w:val="000000" w:themeColor="text1"/>
          <w:sz w:val="36"/>
          <w:szCs w:val="36"/>
          <w:u w:val="none"/>
          <w14:textFill>
            <w14:solidFill>
              <w14:schemeClr w14:val="tx1"/>
            </w14:solidFill>
          </w14:textFill>
        </w:rPr>
      </w:pPr>
    </w:p>
    <w:p>
      <w:pPr>
        <w:spacing w:after="156" w:afterLines="50"/>
        <w:jc w:val="left"/>
        <w:rPr>
          <w:rFonts w:hint="eastAsia" w:ascii="方正小标宋简体" w:eastAsia="方正小标宋简体"/>
          <w:color w:val="000000" w:themeColor="text1"/>
          <w:sz w:val="36"/>
          <w:szCs w:val="36"/>
          <w:u w:val="none"/>
          <w14:textFill>
            <w14:solidFill>
              <w14:schemeClr w14:val="tx1"/>
            </w14:solidFill>
          </w14:textFill>
        </w:rPr>
      </w:pPr>
    </w:p>
    <w:p>
      <w:pPr>
        <w:spacing w:after="156" w:afterLines="50"/>
        <w:jc w:val="left"/>
        <w:rPr>
          <w:rFonts w:hint="eastAsia" w:ascii="方正小标宋简体" w:eastAsia="方正小标宋简体"/>
          <w:color w:val="000000" w:themeColor="text1"/>
          <w:sz w:val="36"/>
          <w:szCs w:val="36"/>
          <w:u w:val="none"/>
          <w14:textFill>
            <w14:solidFill>
              <w14:schemeClr w14:val="tx1"/>
            </w14:solidFill>
          </w14:textFill>
        </w:rPr>
      </w:pPr>
    </w:p>
    <w:p>
      <w:pPr>
        <w:rPr>
          <w:color w:val="000000" w:themeColor="text1"/>
          <w:u w:val="none"/>
          <w14:textFill>
            <w14:solidFill>
              <w14:schemeClr w14:val="tx1"/>
            </w14:solidFill>
          </w14:textFill>
        </w:rPr>
      </w:pPr>
    </w:p>
    <w:sectPr>
      <w:footerReference r:id="rId3" w:type="default"/>
      <w:pgSz w:w="16838" w:h="11906" w:orient="landscape"/>
      <w:pgMar w:top="1440" w:right="1134" w:bottom="1134" w:left="1134"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Arial">
    <w:panose1 w:val="020B0604020202020204"/>
    <w:charset w:val="00"/>
    <w:family w:val="auto"/>
    <w:pitch w:val="default"/>
    <w:sig w:usb0="E0002AFF" w:usb1="C0007843" w:usb2="00000009" w:usb3="00000000" w:csb0="400001FF" w:csb1="FFFF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DengXian">
    <w:altName w:val="宋体"/>
    <w:panose1 w:val="00000000000000000000"/>
    <w:charset w:val="86"/>
    <w:family w:val="auto"/>
    <w:pitch w:val="default"/>
    <w:sig w:usb0="00000000" w:usb1="00000000" w:usb2="00000000" w:usb3="00000000" w:csb0="00000000" w:csb1="00000000"/>
  </w:font>
  <w:font w:name="DengXi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DengXian Light">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6466451"/>
    </w:sdtPr>
    <w:sdtContent>
      <w:p>
        <w:pPr>
          <w:pStyle w:val="3"/>
          <w:jc w:val="center"/>
        </w:pPr>
        <w:r>
          <w:fldChar w:fldCharType="begin"/>
        </w:r>
        <w:r>
          <w:instrText xml:space="preserve">PAGE   \* MERGEFORMAT</w:instrText>
        </w:r>
        <w:r>
          <w:fldChar w:fldCharType="separate"/>
        </w:r>
        <w:r>
          <w:rPr>
            <w:lang w:val="zh-CN"/>
          </w:rPr>
          <w:t>21</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FC"/>
    <w:rsid w:val="00083421"/>
    <w:rsid w:val="000C2314"/>
    <w:rsid w:val="0013537F"/>
    <w:rsid w:val="001A42F7"/>
    <w:rsid w:val="002A181A"/>
    <w:rsid w:val="002C6073"/>
    <w:rsid w:val="003475EB"/>
    <w:rsid w:val="00454736"/>
    <w:rsid w:val="004817BB"/>
    <w:rsid w:val="004F46F6"/>
    <w:rsid w:val="005005FC"/>
    <w:rsid w:val="00574CEF"/>
    <w:rsid w:val="00732CEB"/>
    <w:rsid w:val="00887605"/>
    <w:rsid w:val="00960876"/>
    <w:rsid w:val="00994883"/>
    <w:rsid w:val="00B82FF5"/>
    <w:rsid w:val="00BA4D99"/>
    <w:rsid w:val="00C17F9F"/>
    <w:rsid w:val="00CB3446"/>
    <w:rsid w:val="00D120BA"/>
    <w:rsid w:val="00E37E02"/>
    <w:rsid w:val="00E4004F"/>
    <w:rsid w:val="00EE13AF"/>
    <w:rsid w:val="00FD06AC"/>
    <w:rsid w:val="01C83822"/>
    <w:rsid w:val="057728C0"/>
    <w:rsid w:val="096C1D17"/>
    <w:rsid w:val="0A273362"/>
    <w:rsid w:val="0DF55233"/>
    <w:rsid w:val="12AE1C52"/>
    <w:rsid w:val="1BAC239F"/>
    <w:rsid w:val="1CEF1181"/>
    <w:rsid w:val="20D9551A"/>
    <w:rsid w:val="3B9726FB"/>
    <w:rsid w:val="3ECB003F"/>
    <w:rsid w:val="3F135308"/>
    <w:rsid w:val="440B0EDB"/>
    <w:rsid w:val="44FE4F0D"/>
    <w:rsid w:val="54522A8F"/>
    <w:rsid w:val="60D13B1F"/>
    <w:rsid w:val="642E409B"/>
    <w:rsid w:val="69A14FE8"/>
    <w:rsid w:val="7CA32171"/>
    <w:rsid w:val="7DA66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7">
    <w:name w:val="Hyperlink"/>
    <w:basedOn w:val="6"/>
    <w:unhideWhenUsed/>
    <w:qFormat/>
    <w:uiPriority w:val="99"/>
    <w:rPr>
      <w:color w:val="0000FF"/>
      <w:u w:val="single"/>
    </w:rPr>
  </w:style>
  <w:style w:type="table" w:styleId="9">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 w:type="character" w:customStyle="1" w:styleId="12">
    <w:name w:val="批注框文本 Char"/>
    <w:basedOn w:val="6"/>
    <w:link w:val="2"/>
    <w:semiHidden/>
    <w:qFormat/>
    <w:uiPriority w:val="99"/>
    <w:rPr>
      <w:sz w:val="18"/>
      <w:szCs w:val="18"/>
    </w:rPr>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font71"/>
    <w:basedOn w:val="6"/>
    <w:qFormat/>
    <w:uiPriority w:val="0"/>
    <w:rPr>
      <w:rFonts w:hint="eastAsia" w:ascii="仿宋_GB2312" w:eastAsia="仿宋_GB2312" w:cs="仿宋_GB2312"/>
      <w:color w:val="000000"/>
      <w:sz w:val="20"/>
      <w:szCs w:val="20"/>
      <w:u w:val="none"/>
    </w:rPr>
  </w:style>
  <w:style w:type="character" w:customStyle="1" w:styleId="15">
    <w:name w:val="font3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2959</Words>
  <Characters>16868</Characters>
  <Lines>140</Lines>
  <Paragraphs>39</Paragraphs>
  <ScaleCrop>false</ScaleCrop>
  <LinksUpToDate>false</LinksUpToDate>
  <CharactersWithSpaces>19788</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2016-11-01T08:01:00Z</dcterms:created>
  <dc:creator>win7</dc:creator>
  <cp:lastModifiedBy>sf</cp:lastModifiedBy>
  <cp:lastPrinted>2016-10-25T08:34:00Z</cp:lastPrinted>
  <dcterms:modified xsi:type="dcterms:W3CDTF">2017-04-20T02:00:02Z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