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建设方案编制要点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学院（所）整体建设方案编制要点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一、建设目标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1.近期（2020年）、中期（2030年）及远期（2050年）建设目标。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2.学院（所）的学科专业建设总体规划、拟建设学科专业及其对带动学校整体建设的作用。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二、建设基础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发展定位、优势特色、重大成就、国内以及区域或行业影响以及面临的机遇挑战等。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三、建设内容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2018-2020年的具体举措及进度安排。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四、预期成效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2020年在整体实力及人才培养、科学研究、社会服务、文化传承创新、国内以及区域或行业影响等方面的预期建设成效。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五、组织保障</w:t>
      </w:r>
    </w:p>
    <w:p>
      <w:r>
        <w:rPr>
          <w:rFonts w:hint="eastAsia" w:ascii="仿宋_GB2312" w:hAnsi="Times New Roman" w:eastAsia="仿宋_GB2312" w:cs="Times New Roman"/>
          <w:sz w:val="32"/>
          <w:szCs w:val="32"/>
        </w:rPr>
        <w:t>相关的管理体制机制、自我评价调整机制、资源筹集与配置机制等。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07A23"/>
    <w:rsid w:val="50E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2018-01-11T09:20:00Z</dcterms:created>
  <dc:creator>Administrator</dc:creator>
  <cp:lastModifiedBy>Administrator</cp:lastModifiedBy>
  <dcterms:modified xsi:type="dcterms:W3CDTF">2018-01-11T09:21:18Z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