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XXX学科建设方案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1.口径范围：可以是现行学科目录中的一级学科，也可以是新兴学科及交叉学科等。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2.建设目标：该学科的近期（2020年）、中期（2030年）及远期（2050年）建设目标。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3.建设基础：该学科的优势特色、重大成就、国际国内以及区域或行业影响、发展潜力以及面临的机遇挑战等。</w:t>
      </w:r>
    </w:p>
    <w:p>
      <w:pPr>
        <w:spacing w:line="520" w:lineRule="exact"/>
        <w:ind w:firstLine="645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4.建设内容：2018-2020年提升该学科人才培养、科学研究、社会服务、文化传承创新、师资队伍建设、国际国内交流与合作水平的具体举措及进度安排。</w:t>
      </w:r>
    </w:p>
    <w:p>
      <w:r>
        <w:rPr>
          <w:rFonts w:hint="eastAsia" w:ascii="仿宋_GB2312" w:hAnsi="Times New Roman" w:eastAsia="仿宋_GB2312" w:cs="Times New Roman"/>
          <w:sz w:val="32"/>
          <w:szCs w:val="32"/>
        </w:rPr>
        <w:t>5.预期成效：2020年该学科在学科水平以及人才培养、科学研究、社会服务、国际国内以及区域或行业影响等方面的预期成效。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25C15"/>
    <w:rsid w:val="57E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2018-01-11T09:20:00Z</dcterms:created>
  <dc:creator>Administrator</dc:creator>
  <cp:lastModifiedBy>Administrator</cp:lastModifiedBy>
  <dcterms:modified xsi:type="dcterms:W3CDTF">2018-01-11T09:21:51Z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