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F2" w:rsidRPr="001344F2" w:rsidRDefault="001344F2" w:rsidP="001344F2">
      <w:pPr>
        <w:widowControl/>
        <w:snapToGrid w:val="0"/>
        <w:spacing w:line="570" w:lineRule="exact"/>
        <w:jc w:val="center"/>
        <w:rPr>
          <w:rFonts w:ascii="Times New Roman" w:eastAsia="方正小标宋简体" w:hAnsi="Times New Roman" w:cs="宋体"/>
          <w:spacing w:val="-4"/>
          <w:kern w:val="0"/>
          <w:sz w:val="44"/>
          <w:szCs w:val="44"/>
        </w:rPr>
      </w:pPr>
      <w:bookmarkStart w:id="0" w:name="_GoBack"/>
      <w:r w:rsidRPr="001344F2">
        <w:rPr>
          <w:rFonts w:ascii="Times New Roman" w:eastAsia="方正小标宋简体" w:hAnsi="Times New Roman" w:cs="宋体" w:hint="eastAsia"/>
          <w:spacing w:val="-4"/>
          <w:kern w:val="0"/>
          <w:sz w:val="44"/>
          <w:szCs w:val="44"/>
        </w:rPr>
        <w:t>成都大学专项资金入库项目绩效目标申报表</w:t>
      </w:r>
    </w:p>
    <w:bookmarkEnd w:id="0"/>
    <w:p w:rsidR="001344F2" w:rsidRPr="005D44AA" w:rsidRDefault="001344F2" w:rsidP="001344F2">
      <w:pPr>
        <w:widowControl/>
        <w:jc w:val="center"/>
        <w:rPr>
          <w:rFonts w:ascii="Times New Roman" w:eastAsia="宋体" w:hAnsi="Times New Roman" w:cs="宋体"/>
          <w:kern w:val="0"/>
          <w:sz w:val="18"/>
          <w:szCs w:val="18"/>
        </w:rPr>
      </w:pPr>
      <w:r w:rsidRPr="005D44AA">
        <w:rPr>
          <w:rFonts w:ascii="Times New Roman" w:eastAsia="宋体" w:hAnsi="Times New Roman" w:cs="宋体" w:hint="eastAsia"/>
          <w:kern w:val="0"/>
          <w:sz w:val="18"/>
          <w:szCs w:val="18"/>
        </w:rPr>
        <w:t>（参考样表）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633"/>
        <w:gridCol w:w="279"/>
        <w:gridCol w:w="516"/>
        <w:gridCol w:w="31"/>
        <w:gridCol w:w="1636"/>
        <w:gridCol w:w="721"/>
        <w:gridCol w:w="1206"/>
        <w:gridCol w:w="142"/>
        <w:gridCol w:w="795"/>
        <w:gridCol w:w="1814"/>
        <w:gridCol w:w="2234"/>
      </w:tblGrid>
      <w:tr w:rsidR="001344F2" w:rsidRPr="005D44AA" w:rsidTr="009975A5">
        <w:trPr>
          <w:trHeight w:val="390"/>
          <w:jc w:val="center"/>
        </w:trPr>
        <w:tc>
          <w:tcPr>
            <w:tcW w:w="10650" w:type="dxa"/>
            <w:gridSpan w:val="12"/>
            <w:shd w:val="clear" w:color="auto" w:fill="auto"/>
            <w:noWrap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单位名称（盖章）：</w:t>
            </w:r>
          </w:p>
        </w:tc>
      </w:tr>
      <w:tr w:rsidR="001344F2" w:rsidRPr="005D44AA" w:rsidTr="009975A5">
        <w:trPr>
          <w:trHeight w:val="390"/>
          <w:jc w:val="center"/>
        </w:trPr>
        <w:tc>
          <w:tcPr>
            <w:tcW w:w="2102" w:type="dxa"/>
            <w:gridSpan w:val="5"/>
            <w:shd w:val="clear" w:color="auto" w:fill="auto"/>
            <w:noWrap/>
            <w:vAlign w:val="center"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项目负责人　</w:t>
            </w:r>
          </w:p>
        </w:tc>
        <w:tc>
          <w:tcPr>
            <w:tcW w:w="2357" w:type="dxa"/>
            <w:gridSpan w:val="2"/>
            <w:shd w:val="clear" w:color="auto" w:fill="auto"/>
            <w:noWrap/>
            <w:vAlign w:val="center"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项目经费　</w:t>
            </w:r>
          </w:p>
        </w:tc>
        <w:tc>
          <w:tcPr>
            <w:tcW w:w="4985" w:type="dxa"/>
            <w:gridSpan w:val="4"/>
            <w:shd w:val="clear" w:color="auto" w:fill="auto"/>
            <w:noWrap/>
            <w:vAlign w:val="center"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1344F2" w:rsidRPr="005D44AA" w:rsidTr="009975A5">
        <w:trPr>
          <w:trHeight w:val="439"/>
          <w:jc w:val="center"/>
        </w:trPr>
        <w:tc>
          <w:tcPr>
            <w:tcW w:w="1555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095" w:type="dxa"/>
            <w:gridSpan w:val="9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</w:tr>
      <w:tr w:rsidR="001344F2" w:rsidRPr="005D44AA" w:rsidTr="009975A5">
        <w:trPr>
          <w:trHeight w:val="439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总</w:t>
            </w:r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体</w:t>
            </w:r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目</w:t>
            </w:r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5164" w:type="dxa"/>
            <w:gridSpan w:val="8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实施期目标（总目标）</w:t>
            </w:r>
          </w:p>
        </w:tc>
        <w:tc>
          <w:tcPr>
            <w:tcW w:w="4843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年度目标</w:t>
            </w:r>
          </w:p>
        </w:tc>
      </w:tr>
      <w:tr w:rsidR="001344F2" w:rsidRPr="005D44AA" w:rsidTr="009975A5">
        <w:trPr>
          <w:trHeight w:val="303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64" w:type="dxa"/>
            <w:gridSpan w:val="8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（下述仅供参考）。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                                                      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目标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：利用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实训大楼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实验室，对相关设施不断完善，在现有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重点实验室、技术研究中心基础上，建成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教学实验实训平台，使得教学条件不断改善，教学基础地位更加稳固；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目标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：建设覆盖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等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专业的教学实验室，并引入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等企业，以联合建设形势开展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等平台及基地的开展，使得服务的企业数量达到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，服务高校的数量达到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，应用型人才培养的针对性进一步加强；</w:t>
            </w:r>
          </w:p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目标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3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：以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产教融合工程落地为机遇，结合与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等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所高校联合开展人才培养的推进，将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优势学科、专业及相关的实验室、工程技术研究中心相结合，打造对接产业链的创新链，并形成相关的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等成果（软著、专利、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SSCI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等方面论述）；</w:t>
            </w:r>
          </w:p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目标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:4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：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......</w:t>
            </w:r>
          </w:p>
        </w:tc>
        <w:tc>
          <w:tcPr>
            <w:tcW w:w="4843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请结合项目申报书目标设置的板块、内容开展论述，要突出科学性及可量化（下述仅供参考）。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                                                                           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目标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：利用该资金，着重支持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省级技术研究中心建设，基本完成该中心平台相关硬件设备购置、系统配置并正常投入使用；</w:t>
            </w:r>
          </w:p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目标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：以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省级技术研究中心为抓手，开展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专业、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专业等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专业的实验实训，覆盖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人数，并积极拓展社会服务，申报并获批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实践基地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项；</w:t>
            </w:r>
          </w:p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目标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3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：以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省级技术研究中心为载体，积极引入四川省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行业协会，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等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行业龙头企业参与项目开发、课程建设等，并联合申报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共建项目，对于本学科及相关专业的条件支撑更加明显。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                                               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目标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4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：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......                                            </w:t>
            </w:r>
          </w:p>
        </w:tc>
      </w:tr>
      <w:tr w:rsidR="001344F2" w:rsidRPr="005D44AA" w:rsidTr="009975A5">
        <w:trPr>
          <w:trHeight w:val="480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绩</w:t>
            </w:r>
            <w:proofErr w:type="gramEnd"/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效</w:t>
            </w:r>
            <w:proofErr w:type="gramEnd"/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指</w:t>
            </w:r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一级</w:t>
            </w:r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三级指标（示例）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指标值（示例）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三级指标（示例）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指标值（示例）</w:t>
            </w:r>
          </w:p>
        </w:tc>
      </w:tr>
      <w:tr w:rsidR="001344F2" w:rsidRPr="005D44AA" w:rsidTr="009975A5">
        <w:trPr>
          <w:trHeight w:val="439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产</w:t>
            </w:r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出</w:t>
            </w:r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指</w:t>
            </w:r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支持的创新团队数量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支持的创新团队数量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1344F2" w:rsidRPr="005D44AA" w:rsidTr="009975A5">
        <w:trPr>
          <w:trHeight w:val="105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支持的学科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4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个一级学科（下设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20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个专业方向），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个专业硕士学位类别（覆盖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6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个领域）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支持的学科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4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个一级学科（下设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20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个专业方向），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个专业硕士学位类别（覆盖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6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个领域）</w:t>
            </w:r>
          </w:p>
        </w:tc>
      </w:tr>
      <w:tr w:rsidR="001344F2" w:rsidRPr="005D44AA" w:rsidTr="009975A5">
        <w:trPr>
          <w:trHeight w:val="84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支持的科研平台、教学实验室数量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3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个智慧学习工场（覆盖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18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个平台）增加校级以上重点实验室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15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支持的科研平台、教学实验室数量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3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个智慧学习工场（覆盖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18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个平台）增加校级以上重点实验室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5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</w:p>
        </w:tc>
      </w:tr>
      <w:tr w:rsidR="001344F2" w:rsidRPr="005D44AA" w:rsidTr="009975A5">
        <w:trPr>
          <w:trHeight w:val="855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重点实验室、科研平台、教学实验室及专业能力实践基地年度计划任务完成情况（比例）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重点实验室、科研平台、教学实验室及专业能力实践基地年度计划任务完成情况（比例）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35%</w:t>
            </w:r>
          </w:p>
        </w:tc>
      </w:tr>
      <w:tr w:rsidR="001344F2" w:rsidRPr="005D44AA" w:rsidTr="009975A5">
        <w:trPr>
          <w:trHeight w:val="42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十陵校区教学实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训管理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区域面积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282124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十陵校区教学实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训管理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区域面积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120000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平方米</w:t>
            </w:r>
          </w:p>
        </w:tc>
      </w:tr>
      <w:tr w:rsidR="001344F2" w:rsidRPr="005D44AA" w:rsidTr="009975A5">
        <w:trPr>
          <w:trHeight w:val="54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合作办学教育教学点数量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17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合作办学教育教学点数量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大学、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大学等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所</w:t>
            </w:r>
          </w:p>
        </w:tc>
      </w:tr>
      <w:tr w:rsidR="001344F2" w:rsidRPr="005D44AA" w:rsidTr="009975A5">
        <w:trPr>
          <w:trHeight w:val="439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改造及提升教学设施场所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改造及提升教学设施场所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1344F2" w:rsidRPr="005D44AA" w:rsidTr="009975A5">
        <w:trPr>
          <w:trHeight w:val="439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网络教学资源课程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网络教学资源课程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1344F2" w:rsidRPr="005D44AA" w:rsidTr="009975A5">
        <w:trPr>
          <w:trHeight w:val="105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地方高校基本办学条件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场地、教学科研行政用房以及图书、实验实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训设备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等达到区域知名大学平均指标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地方高校基本办学条件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教学科研行政用房、生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均相关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的图书、教学科研资源达到高等院校“大学”序列高校标准</w:t>
            </w:r>
          </w:p>
        </w:tc>
      </w:tr>
      <w:tr w:rsidR="001344F2" w:rsidRPr="005D44AA" w:rsidTr="009975A5">
        <w:trPr>
          <w:trHeight w:val="439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本科高校学生就业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95%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本科高校学生就业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继续巩固全国就业先进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50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强地位</w:t>
            </w:r>
          </w:p>
        </w:tc>
      </w:tr>
      <w:tr w:rsidR="001344F2" w:rsidRPr="005D44AA" w:rsidTr="009975A5">
        <w:trPr>
          <w:trHeight w:val="78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获得省部级以上相关奖项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获得省级以上教学、科研相关的奖项、平台及中心共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5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获得省部级以上相关奖项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省级以上教学成果奖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项（奖项名称）、省级研发中心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个（中心名称）</w:t>
            </w:r>
          </w:p>
        </w:tc>
      </w:tr>
      <w:tr w:rsidR="001344F2" w:rsidRPr="005D44AA" w:rsidTr="009975A5">
        <w:trPr>
          <w:trHeight w:val="439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将上级资金拨付到立项项目情况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15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天内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将上级资金拨付到立项项目情况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10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天之内</w:t>
            </w:r>
          </w:p>
        </w:tc>
      </w:tr>
      <w:tr w:rsidR="001344F2" w:rsidRPr="005D44AA" w:rsidTr="009975A5">
        <w:trPr>
          <w:trHeight w:val="645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按照财政资金要求推进使用情况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按照月度要求推进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按照财政资金要求推进使用情况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结合实际，确保按季度依照预期推进</w:t>
            </w:r>
          </w:p>
        </w:tc>
      </w:tr>
      <w:tr w:rsidR="001344F2" w:rsidRPr="005D44AA" w:rsidTr="009975A5">
        <w:trPr>
          <w:trHeight w:val="439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学校配套的资金成本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1740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学校配套的资金成本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344F2" w:rsidRPr="005D44AA" w:rsidTr="009975A5">
        <w:trPr>
          <w:trHeight w:val="63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学校配套的相关政策成本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制定专门的项目评审、资金管理及考核体系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学校配套的相关政策成本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出台项目评审、资金管理及考核方案各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套</w:t>
            </w:r>
          </w:p>
        </w:tc>
      </w:tr>
      <w:tr w:rsidR="001344F2" w:rsidRPr="005D44AA" w:rsidTr="009975A5">
        <w:trPr>
          <w:trHeight w:val="84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学校配套的相关人力成本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相关学科、专业、平台及师资队伍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学校配套的相关人力成本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相关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等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2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个专业的师资，共计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16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名副高级以上教师</w:t>
            </w:r>
          </w:p>
        </w:tc>
      </w:tr>
      <w:tr w:rsidR="001344F2" w:rsidRPr="005D44AA" w:rsidTr="009975A5">
        <w:trPr>
          <w:trHeight w:val="855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效</w:t>
            </w:r>
            <w:proofErr w:type="gramEnd"/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益</w:t>
            </w:r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指</w:t>
            </w:r>
          </w:p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配合专项资金以及学校投入，产出预期的科研经费及相关成果转化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科研经费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3600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万，专利向产品转化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30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配合专项资金以及学校投入，产出预期的科研经费及相关成果转化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科研经费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1000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万，专利向产品转化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8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项（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、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专利名称）</w:t>
            </w:r>
          </w:p>
        </w:tc>
      </w:tr>
      <w:tr w:rsidR="001344F2" w:rsidRPr="005D44AA" w:rsidTr="009975A5">
        <w:trPr>
          <w:trHeight w:val="81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高校办学质量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服务地方经济社会发展的能力有效提高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高校办学质量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在同类院校中保持第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，继续全方位缩小与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大学差距</w:t>
            </w:r>
          </w:p>
        </w:tc>
      </w:tr>
      <w:tr w:rsidR="001344F2" w:rsidRPr="005D44AA" w:rsidTr="009975A5">
        <w:trPr>
          <w:trHeight w:val="81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面向高等教育的服务能力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与相关行业协会、产业链对接更加有效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面向高等教育的服务能力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落成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1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个</w:t>
            </w:r>
            <w:proofErr w:type="gramStart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国务院发改委</w:t>
            </w:r>
            <w:proofErr w:type="gramEnd"/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审批的产教融合工程项目（项目名称）</w:t>
            </w:r>
          </w:p>
        </w:tc>
      </w:tr>
      <w:tr w:rsidR="001344F2" w:rsidRPr="005D44AA" w:rsidTr="009975A5">
        <w:trPr>
          <w:trHeight w:val="1305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受益面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全省所有本科院校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受益面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依靠四川省师资培养培训联盟理事长单位平台，在覆盖职校的基础上继续拓展，现已达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家，占全省本科院校的</w:t>
            </w: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**%</w:t>
            </w:r>
          </w:p>
        </w:tc>
      </w:tr>
      <w:tr w:rsidR="001344F2" w:rsidRPr="005D44AA" w:rsidTr="009975A5">
        <w:trPr>
          <w:trHeight w:val="660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对于地方发展自然环境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无污染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对于地方发展自然环境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无污染</w:t>
            </w:r>
          </w:p>
        </w:tc>
      </w:tr>
      <w:tr w:rsidR="001344F2" w:rsidRPr="005D44AA" w:rsidTr="009975A5">
        <w:trPr>
          <w:trHeight w:val="585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高校持续健康发展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高校持续健康发展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良好</w:t>
            </w:r>
          </w:p>
        </w:tc>
      </w:tr>
      <w:tr w:rsidR="001344F2" w:rsidRPr="005D44AA" w:rsidTr="009975A5">
        <w:trPr>
          <w:trHeight w:val="439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师生评价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满意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师生评价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较为满意</w:t>
            </w:r>
          </w:p>
        </w:tc>
      </w:tr>
      <w:tr w:rsidR="001344F2" w:rsidRPr="005D44AA" w:rsidTr="009975A5">
        <w:trPr>
          <w:trHeight w:val="439"/>
          <w:jc w:val="center"/>
        </w:trPr>
        <w:tc>
          <w:tcPr>
            <w:tcW w:w="64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社会舆论评价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优良</w:t>
            </w:r>
          </w:p>
        </w:tc>
        <w:tc>
          <w:tcPr>
            <w:tcW w:w="795" w:type="dxa"/>
            <w:vMerge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社会舆论评价</w:t>
            </w:r>
          </w:p>
        </w:tc>
        <w:tc>
          <w:tcPr>
            <w:tcW w:w="2234" w:type="dxa"/>
            <w:shd w:val="clear" w:color="auto" w:fill="auto"/>
            <w:vAlign w:val="center"/>
            <w:hideMark/>
          </w:tcPr>
          <w:p w:rsidR="001344F2" w:rsidRPr="005D44AA" w:rsidRDefault="001344F2" w:rsidP="009975A5">
            <w:pPr>
              <w:widowControl/>
              <w:snapToGrid w:val="0"/>
              <w:jc w:val="left"/>
              <w:rPr>
                <w:rFonts w:ascii="Times New Roman" w:eastAsia="宋体" w:hAnsi="Times New Roman" w:cs="宋体"/>
                <w:kern w:val="0"/>
                <w:sz w:val="18"/>
                <w:szCs w:val="18"/>
              </w:rPr>
            </w:pPr>
            <w:r w:rsidRPr="005D44AA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良好</w:t>
            </w:r>
          </w:p>
        </w:tc>
      </w:tr>
    </w:tbl>
    <w:p w:rsidR="001344F2" w:rsidRPr="005D44AA" w:rsidRDefault="001344F2" w:rsidP="001344F2">
      <w:pPr>
        <w:spacing w:line="400" w:lineRule="exact"/>
        <w:rPr>
          <w:rFonts w:ascii="Times New Roman" w:hAnsi="Times New Roman"/>
          <w:sz w:val="28"/>
          <w:szCs w:val="28"/>
        </w:rPr>
      </w:pPr>
      <w:r w:rsidRPr="005D44AA">
        <w:rPr>
          <w:rFonts w:ascii="Times New Roman" w:eastAsia="宋体" w:hAnsi="Times New Roman" w:cs="宋体" w:hint="eastAsia"/>
          <w:b/>
          <w:bCs/>
          <w:kern w:val="0"/>
          <w:sz w:val="18"/>
          <w:szCs w:val="18"/>
        </w:rPr>
        <w:t>说明：上表中绩效指标及其填报示例仅供参考。各单位按照实际情况选择其中相关指标填报。必要时，可作适当修改。</w:t>
      </w:r>
    </w:p>
    <w:p w:rsidR="003D140B" w:rsidRPr="001344F2" w:rsidRDefault="003D140B"/>
    <w:sectPr w:rsidR="003D140B" w:rsidRPr="00134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2D" w:rsidRDefault="0008232D" w:rsidP="001344F2">
      <w:r>
        <w:separator/>
      </w:r>
    </w:p>
  </w:endnote>
  <w:endnote w:type="continuationSeparator" w:id="0">
    <w:p w:rsidR="0008232D" w:rsidRDefault="0008232D" w:rsidP="0013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2D" w:rsidRDefault="0008232D" w:rsidP="001344F2">
      <w:r>
        <w:separator/>
      </w:r>
    </w:p>
  </w:footnote>
  <w:footnote w:type="continuationSeparator" w:id="0">
    <w:p w:rsidR="0008232D" w:rsidRDefault="0008232D" w:rsidP="00134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D8"/>
    <w:rsid w:val="0008232D"/>
    <w:rsid w:val="001344F2"/>
    <w:rsid w:val="003D140B"/>
    <w:rsid w:val="007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4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4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>china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2020-06-02T05:07:00Z</dcterms:created>
  <dcterms:modified xsi:type="dcterms:W3CDTF">2020-06-02T05:07:00Z</dcterms:modified>
</cp:coreProperties>
</file>